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DEF4" w14:textId="77777777" w:rsidR="0038417A" w:rsidRDefault="0038417A" w:rsidP="0038417A">
      <w:pPr>
        <w:tabs>
          <w:tab w:val="left" w:pos="284"/>
        </w:tabs>
        <w:rPr>
          <w:sz w:val="32"/>
          <w:szCs w:val="32"/>
          <w:u w:val="single"/>
        </w:rPr>
      </w:pPr>
      <w:r w:rsidRPr="00AC1AF4">
        <w:rPr>
          <w:b/>
          <w:i/>
          <w:noProof/>
        </w:rPr>
        <w:drawing>
          <wp:inline distT="0" distB="0" distL="0" distR="0" wp14:anchorId="6553A699" wp14:editId="552B3929">
            <wp:extent cx="1743075" cy="1619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r>
        <w:tab/>
      </w:r>
      <w:r>
        <w:tab/>
      </w:r>
      <w:r>
        <w:tab/>
      </w:r>
      <w:r>
        <w:tab/>
      </w:r>
    </w:p>
    <w:p w14:paraId="618D2469" w14:textId="77777777" w:rsidR="0038417A" w:rsidRDefault="0038417A" w:rsidP="0038417A">
      <w:pPr>
        <w:pStyle w:val="Sansinterligne"/>
        <w:jc w:val="center"/>
        <w:rPr>
          <w:rFonts w:ascii="Times New Roman" w:hAnsi="Times New Roman" w:cs="Times New Roman"/>
          <w:sz w:val="32"/>
          <w:szCs w:val="32"/>
          <w:u w:val="single"/>
        </w:rPr>
      </w:pPr>
      <w:r w:rsidRPr="00C7200D">
        <w:rPr>
          <w:rFonts w:ascii="Times New Roman" w:hAnsi="Times New Roman" w:cs="Times New Roman"/>
          <w:sz w:val="32"/>
          <w:szCs w:val="32"/>
          <w:u w:val="single"/>
        </w:rPr>
        <w:t xml:space="preserve">Réunion du </w:t>
      </w:r>
      <w:r>
        <w:rPr>
          <w:rFonts w:ascii="Times New Roman" w:hAnsi="Times New Roman" w:cs="Times New Roman"/>
          <w:sz w:val="32"/>
          <w:szCs w:val="32"/>
          <w:u w:val="single"/>
        </w:rPr>
        <w:t>09 février 2024</w:t>
      </w:r>
    </w:p>
    <w:p w14:paraId="7EBAADF4" w14:textId="77777777" w:rsidR="0038417A" w:rsidRDefault="0038417A" w:rsidP="0038417A">
      <w:pPr>
        <w:tabs>
          <w:tab w:val="left" w:pos="284"/>
        </w:tabs>
        <w:ind w:left="709"/>
      </w:pPr>
      <w:r>
        <w:tab/>
      </w:r>
      <w:r>
        <w:tab/>
      </w:r>
    </w:p>
    <w:p w14:paraId="5AB0535D" w14:textId="77777777" w:rsidR="0038417A" w:rsidRPr="00211304" w:rsidRDefault="0038417A" w:rsidP="0038417A">
      <w:pPr>
        <w:pStyle w:val="Titre"/>
        <w:ind w:left="567"/>
      </w:pPr>
      <w:r w:rsidRPr="00211304">
        <w:t>PROCES-VERBAL</w:t>
      </w:r>
    </w:p>
    <w:p w14:paraId="397AFC04" w14:textId="77777777" w:rsidR="0038417A" w:rsidRPr="00211304" w:rsidRDefault="0038417A" w:rsidP="0038417A">
      <w:pPr>
        <w:ind w:left="567"/>
        <w:jc w:val="center"/>
        <w:rPr>
          <w:b/>
          <w:bCs/>
        </w:rPr>
      </w:pPr>
    </w:p>
    <w:p w14:paraId="3E22E824" w14:textId="77777777" w:rsidR="0038417A" w:rsidRPr="00A126DD" w:rsidRDefault="0038417A" w:rsidP="0038417A">
      <w:pPr>
        <w:ind w:left="567"/>
        <w:jc w:val="center"/>
        <w:rPr>
          <w:b/>
          <w:bCs/>
        </w:rPr>
      </w:pPr>
      <w:r w:rsidRPr="00A126DD">
        <w:rPr>
          <w:b/>
          <w:bCs/>
        </w:rPr>
        <w:t>REUNION DU CONSEIL MUNICIPAL</w:t>
      </w:r>
    </w:p>
    <w:p w14:paraId="5C3079E1" w14:textId="77777777" w:rsidR="0038417A" w:rsidRPr="00A126DD" w:rsidRDefault="0038417A" w:rsidP="0038417A">
      <w:pPr>
        <w:ind w:left="567"/>
        <w:jc w:val="center"/>
        <w:rPr>
          <w:b/>
          <w:bCs/>
        </w:rPr>
      </w:pPr>
    </w:p>
    <w:p w14:paraId="4AC08D8C" w14:textId="77777777" w:rsidR="0038417A" w:rsidRPr="00AF2A74" w:rsidRDefault="0038417A" w:rsidP="0038417A">
      <w:pPr>
        <w:ind w:left="567"/>
        <w:jc w:val="both"/>
        <w:rPr>
          <w:bCs/>
          <w:sz w:val="24"/>
          <w:szCs w:val="24"/>
        </w:rPr>
      </w:pPr>
      <w:r w:rsidRPr="00AF2A74">
        <w:rPr>
          <w:b/>
          <w:bCs/>
          <w:sz w:val="24"/>
          <w:szCs w:val="24"/>
        </w:rPr>
        <w:t xml:space="preserve">Date de convocation : </w:t>
      </w:r>
      <w:r>
        <w:rPr>
          <w:sz w:val="24"/>
          <w:szCs w:val="24"/>
        </w:rPr>
        <w:t>02 février 2024</w:t>
      </w:r>
    </w:p>
    <w:p w14:paraId="58030169" w14:textId="77777777" w:rsidR="0038417A" w:rsidRPr="00AF2A74" w:rsidRDefault="0038417A" w:rsidP="0038417A">
      <w:pPr>
        <w:ind w:left="567"/>
        <w:jc w:val="both"/>
        <w:rPr>
          <w:sz w:val="24"/>
          <w:szCs w:val="24"/>
        </w:rPr>
      </w:pPr>
      <w:r w:rsidRPr="00AF2A74">
        <w:rPr>
          <w:b/>
          <w:bCs/>
          <w:sz w:val="24"/>
          <w:szCs w:val="24"/>
        </w:rPr>
        <w:t xml:space="preserve">Date : </w:t>
      </w:r>
      <w:r>
        <w:rPr>
          <w:sz w:val="24"/>
          <w:szCs w:val="24"/>
        </w:rPr>
        <w:t>09 février 2024</w:t>
      </w:r>
    </w:p>
    <w:p w14:paraId="0659F2EA" w14:textId="77777777" w:rsidR="0038417A" w:rsidRPr="00AF2A74" w:rsidRDefault="0038417A" w:rsidP="0038417A">
      <w:pPr>
        <w:ind w:left="567"/>
        <w:jc w:val="both"/>
        <w:rPr>
          <w:sz w:val="24"/>
          <w:szCs w:val="24"/>
        </w:rPr>
      </w:pPr>
      <w:r w:rsidRPr="00AF2A74">
        <w:rPr>
          <w:b/>
          <w:bCs/>
          <w:sz w:val="24"/>
          <w:szCs w:val="24"/>
        </w:rPr>
        <w:t xml:space="preserve">Heure : </w:t>
      </w:r>
      <w:r>
        <w:rPr>
          <w:sz w:val="24"/>
          <w:szCs w:val="24"/>
        </w:rPr>
        <w:t>20</w:t>
      </w:r>
      <w:r w:rsidRPr="00AF2A74">
        <w:rPr>
          <w:sz w:val="24"/>
          <w:szCs w:val="24"/>
        </w:rPr>
        <w:t>h</w:t>
      </w:r>
      <w:r>
        <w:rPr>
          <w:sz w:val="24"/>
          <w:szCs w:val="24"/>
        </w:rPr>
        <w:t>0</w:t>
      </w:r>
      <w:r w:rsidRPr="00AF2A74">
        <w:rPr>
          <w:sz w:val="24"/>
          <w:szCs w:val="24"/>
        </w:rPr>
        <w:t>0</w:t>
      </w:r>
    </w:p>
    <w:p w14:paraId="43C89F59" w14:textId="77777777" w:rsidR="0038417A" w:rsidRPr="00AF2A74" w:rsidRDefault="0038417A" w:rsidP="0038417A">
      <w:pPr>
        <w:ind w:left="567"/>
        <w:jc w:val="both"/>
        <w:rPr>
          <w:sz w:val="24"/>
          <w:szCs w:val="24"/>
        </w:rPr>
      </w:pPr>
      <w:r w:rsidRPr="00AF2A74">
        <w:rPr>
          <w:b/>
          <w:bCs/>
          <w:sz w:val="24"/>
          <w:szCs w:val="24"/>
        </w:rPr>
        <w:t>Début de séance</w:t>
      </w:r>
      <w:r w:rsidRPr="00AF2A74">
        <w:rPr>
          <w:sz w:val="24"/>
          <w:szCs w:val="24"/>
        </w:rPr>
        <w:t xml:space="preserve"> : </w:t>
      </w:r>
      <w:r>
        <w:rPr>
          <w:sz w:val="24"/>
          <w:szCs w:val="24"/>
        </w:rPr>
        <w:t>20</w:t>
      </w:r>
      <w:r w:rsidRPr="00AF2A74">
        <w:rPr>
          <w:sz w:val="24"/>
          <w:szCs w:val="24"/>
        </w:rPr>
        <w:t>h</w:t>
      </w:r>
      <w:r>
        <w:rPr>
          <w:sz w:val="24"/>
          <w:szCs w:val="24"/>
        </w:rPr>
        <w:t>10</w:t>
      </w:r>
      <w:r w:rsidRPr="00AF2A74">
        <w:rPr>
          <w:sz w:val="24"/>
          <w:szCs w:val="24"/>
        </w:rPr>
        <w:tab/>
      </w:r>
    </w:p>
    <w:p w14:paraId="0295F6D9" w14:textId="77777777" w:rsidR="0038417A" w:rsidRPr="0021593F" w:rsidRDefault="0038417A" w:rsidP="0038417A">
      <w:pPr>
        <w:numPr>
          <w:ilvl w:val="12"/>
          <w:numId w:val="0"/>
        </w:numPr>
        <w:ind w:left="567"/>
        <w:jc w:val="both"/>
        <w:rPr>
          <w:sz w:val="24"/>
          <w:szCs w:val="24"/>
        </w:rPr>
      </w:pPr>
      <w:r w:rsidRPr="0021593F">
        <w:rPr>
          <w:b/>
          <w:sz w:val="24"/>
          <w:szCs w:val="24"/>
        </w:rPr>
        <w:t>Présents</w:t>
      </w:r>
      <w:proofErr w:type="gramStart"/>
      <w:r w:rsidRPr="0021593F">
        <w:rPr>
          <w:b/>
          <w:sz w:val="24"/>
          <w:szCs w:val="24"/>
        </w:rPr>
        <w:t> :</w:t>
      </w:r>
      <w:r w:rsidRPr="0079024B">
        <w:rPr>
          <w:bCs/>
          <w:sz w:val="24"/>
          <w:szCs w:val="24"/>
        </w:rPr>
        <w:t>BARBARIN</w:t>
      </w:r>
      <w:proofErr w:type="gramEnd"/>
      <w:r>
        <w:rPr>
          <w:b/>
          <w:sz w:val="24"/>
          <w:szCs w:val="24"/>
        </w:rPr>
        <w:t>-</w:t>
      </w:r>
      <w:r w:rsidRPr="0079024B">
        <w:rPr>
          <w:bCs/>
          <w:sz w:val="24"/>
          <w:szCs w:val="24"/>
        </w:rPr>
        <w:t>BARBOSA</w:t>
      </w:r>
      <w:r>
        <w:rPr>
          <w:b/>
          <w:sz w:val="24"/>
          <w:szCs w:val="24"/>
        </w:rPr>
        <w:t>-</w:t>
      </w:r>
      <w:r>
        <w:rPr>
          <w:sz w:val="24"/>
          <w:szCs w:val="24"/>
        </w:rPr>
        <w:t>BEAUDOU-</w:t>
      </w:r>
      <w:r w:rsidRPr="0021593F">
        <w:rPr>
          <w:sz w:val="24"/>
          <w:szCs w:val="24"/>
        </w:rPr>
        <w:t>BRAUD-</w:t>
      </w:r>
      <w:r>
        <w:rPr>
          <w:sz w:val="24"/>
          <w:szCs w:val="24"/>
        </w:rPr>
        <w:t>DELAGE-</w:t>
      </w:r>
      <w:r w:rsidRPr="0021593F">
        <w:rPr>
          <w:sz w:val="24"/>
          <w:szCs w:val="24"/>
        </w:rPr>
        <w:t>DESVALOIS-</w:t>
      </w:r>
      <w:r>
        <w:rPr>
          <w:sz w:val="24"/>
          <w:szCs w:val="24"/>
        </w:rPr>
        <w:t>DUBROQUA-</w:t>
      </w:r>
      <w:r w:rsidRPr="0021593F">
        <w:rPr>
          <w:sz w:val="24"/>
          <w:szCs w:val="24"/>
        </w:rPr>
        <w:t>DURAND-ESCOUBEYROU-</w:t>
      </w:r>
      <w:r>
        <w:rPr>
          <w:sz w:val="24"/>
          <w:szCs w:val="24"/>
        </w:rPr>
        <w:t>FIEYRE-</w:t>
      </w:r>
      <w:r w:rsidRPr="0021593F">
        <w:rPr>
          <w:sz w:val="24"/>
          <w:szCs w:val="24"/>
        </w:rPr>
        <w:t>LEGROS-</w:t>
      </w:r>
      <w:r>
        <w:rPr>
          <w:sz w:val="24"/>
          <w:szCs w:val="24"/>
        </w:rPr>
        <w:t>MASSY</w:t>
      </w:r>
      <w:r w:rsidRPr="0021593F">
        <w:rPr>
          <w:sz w:val="24"/>
          <w:szCs w:val="24"/>
        </w:rPr>
        <w:t xml:space="preserve"> </w:t>
      </w:r>
    </w:p>
    <w:p w14:paraId="4E2B8A52" w14:textId="77777777" w:rsidR="0038417A" w:rsidRPr="00315F3C" w:rsidRDefault="0038417A" w:rsidP="0038417A">
      <w:pPr>
        <w:ind w:left="567"/>
        <w:jc w:val="both"/>
        <w:rPr>
          <w:bCs/>
          <w:sz w:val="22"/>
          <w:szCs w:val="22"/>
        </w:rPr>
      </w:pPr>
      <w:r w:rsidRPr="0021593F">
        <w:rPr>
          <w:b/>
          <w:sz w:val="24"/>
          <w:szCs w:val="24"/>
        </w:rPr>
        <w:t>Pouvoirs </w:t>
      </w:r>
      <w:r w:rsidRPr="00315F3C">
        <w:rPr>
          <w:b/>
          <w:sz w:val="24"/>
          <w:szCs w:val="24"/>
        </w:rPr>
        <w:t xml:space="preserve">:  </w:t>
      </w:r>
      <w:r>
        <w:rPr>
          <w:b/>
          <w:sz w:val="22"/>
          <w:szCs w:val="22"/>
        </w:rPr>
        <w:t>2</w:t>
      </w:r>
      <w:r w:rsidRPr="00315F3C">
        <w:rPr>
          <w:bCs/>
          <w:sz w:val="22"/>
          <w:szCs w:val="22"/>
        </w:rPr>
        <w:t xml:space="preserve"> </w:t>
      </w:r>
      <w:r>
        <w:rPr>
          <w:bCs/>
          <w:sz w:val="22"/>
          <w:szCs w:val="22"/>
        </w:rPr>
        <w:t>BRUNEAU à MASSY / DESBORDES à ESCOUBEYROU</w:t>
      </w:r>
    </w:p>
    <w:p w14:paraId="77663B10" w14:textId="77777777" w:rsidR="0038417A" w:rsidRPr="0021593F" w:rsidRDefault="0038417A" w:rsidP="0038417A">
      <w:pPr>
        <w:ind w:left="567"/>
        <w:jc w:val="both"/>
        <w:rPr>
          <w:bCs/>
          <w:sz w:val="24"/>
          <w:szCs w:val="24"/>
        </w:rPr>
      </w:pPr>
      <w:r w:rsidRPr="00315F3C">
        <w:rPr>
          <w:b/>
          <w:sz w:val="24"/>
          <w:szCs w:val="24"/>
        </w:rPr>
        <w:t>Secrétaire </w:t>
      </w:r>
      <w:r w:rsidRPr="00315F3C">
        <w:rPr>
          <w:bCs/>
          <w:sz w:val="24"/>
          <w:szCs w:val="24"/>
        </w:rPr>
        <w:t>:</w:t>
      </w:r>
      <w:r w:rsidRPr="0021593F">
        <w:rPr>
          <w:bCs/>
          <w:sz w:val="24"/>
          <w:szCs w:val="24"/>
        </w:rPr>
        <w:t xml:space="preserve"> </w:t>
      </w:r>
      <w:r>
        <w:rPr>
          <w:bCs/>
          <w:sz w:val="24"/>
          <w:szCs w:val="24"/>
        </w:rPr>
        <w:t>Eva BARBOSA</w:t>
      </w:r>
    </w:p>
    <w:p w14:paraId="27F4CC66" w14:textId="77777777" w:rsidR="0038417A" w:rsidRPr="0021593F" w:rsidRDefault="0038417A" w:rsidP="0038417A">
      <w:pPr>
        <w:ind w:left="567"/>
        <w:jc w:val="both"/>
        <w:rPr>
          <w:b/>
          <w:bCs/>
          <w:sz w:val="24"/>
          <w:szCs w:val="24"/>
        </w:rPr>
      </w:pPr>
      <w:r w:rsidRPr="0021593F">
        <w:rPr>
          <w:b/>
          <w:bCs/>
          <w:sz w:val="24"/>
          <w:szCs w:val="24"/>
        </w:rPr>
        <w:t xml:space="preserve">Auxiliaire : </w:t>
      </w:r>
      <w:r w:rsidRPr="0021593F">
        <w:rPr>
          <w:bCs/>
          <w:sz w:val="24"/>
          <w:szCs w:val="24"/>
        </w:rPr>
        <w:t>Catherine MARCHIVE</w:t>
      </w:r>
    </w:p>
    <w:p w14:paraId="75523AFF" w14:textId="77777777" w:rsidR="0038417A" w:rsidRPr="00A2473E" w:rsidRDefault="0038417A" w:rsidP="0038417A">
      <w:pPr>
        <w:ind w:left="567"/>
        <w:jc w:val="both"/>
        <w:rPr>
          <w:sz w:val="24"/>
          <w:szCs w:val="24"/>
        </w:rPr>
      </w:pPr>
      <w:r w:rsidRPr="0021593F">
        <w:rPr>
          <w:b/>
          <w:bCs/>
          <w:sz w:val="24"/>
          <w:szCs w:val="24"/>
        </w:rPr>
        <w:t xml:space="preserve">Quorum : </w:t>
      </w:r>
      <w:r w:rsidRPr="0021593F">
        <w:rPr>
          <w:sz w:val="24"/>
          <w:szCs w:val="24"/>
        </w:rPr>
        <w:t>oui</w:t>
      </w:r>
    </w:p>
    <w:p w14:paraId="6EAE2F96" w14:textId="77777777" w:rsidR="0038417A" w:rsidRPr="00A2473E" w:rsidRDefault="0038417A" w:rsidP="0038417A">
      <w:pPr>
        <w:ind w:left="567"/>
        <w:jc w:val="both"/>
        <w:rPr>
          <w:sz w:val="24"/>
          <w:szCs w:val="24"/>
        </w:rPr>
      </w:pPr>
    </w:p>
    <w:p w14:paraId="2B647D83" w14:textId="77777777" w:rsidR="0038417A" w:rsidRDefault="0038417A" w:rsidP="0038417A">
      <w:pPr>
        <w:ind w:left="567"/>
        <w:jc w:val="both"/>
        <w:rPr>
          <w:b/>
          <w:bCs/>
          <w:sz w:val="24"/>
          <w:szCs w:val="24"/>
        </w:rPr>
      </w:pPr>
      <w:r w:rsidRPr="00291BDC">
        <w:rPr>
          <w:b/>
          <w:bCs/>
          <w:sz w:val="24"/>
          <w:szCs w:val="24"/>
        </w:rPr>
        <w:t xml:space="preserve">Ordre du jour : </w:t>
      </w:r>
    </w:p>
    <w:p w14:paraId="492FD358" w14:textId="77777777" w:rsidR="0038417A" w:rsidRPr="00291BDC" w:rsidRDefault="0038417A" w:rsidP="0038417A">
      <w:pPr>
        <w:ind w:left="851"/>
        <w:jc w:val="both"/>
        <w:rPr>
          <w:b/>
          <w:bCs/>
          <w:sz w:val="24"/>
          <w:szCs w:val="24"/>
        </w:rPr>
      </w:pPr>
    </w:p>
    <w:p w14:paraId="4ACBBF1E" w14:textId="77777777" w:rsidR="0038417A" w:rsidRDefault="0038417A" w:rsidP="0038417A">
      <w:pPr>
        <w:pStyle w:val="Paragraphedeliste"/>
        <w:numPr>
          <w:ilvl w:val="0"/>
          <w:numId w:val="1"/>
        </w:numPr>
        <w:ind w:left="851"/>
        <w:jc w:val="both"/>
        <w:textAlignment w:val="baseline"/>
        <w:rPr>
          <w:rFonts w:eastAsia="Wingdings" w:cs="Wingdings"/>
          <w:sz w:val="22"/>
          <w:szCs w:val="22"/>
        </w:rPr>
      </w:pPr>
      <w:r>
        <w:rPr>
          <w:rFonts w:eastAsia="Wingdings" w:cs="Wingdings"/>
          <w:sz w:val="22"/>
          <w:szCs w:val="22"/>
        </w:rPr>
        <w:t>Protection sociale complémentaire : Mandat au CDG 87 pour lancement de la consultation pour la conclusion d’une convention de participation dans le domaine de la prévoyance</w:t>
      </w:r>
    </w:p>
    <w:p w14:paraId="056FCE2C" w14:textId="77777777" w:rsidR="0038417A" w:rsidRDefault="0038417A" w:rsidP="0038417A">
      <w:pPr>
        <w:ind w:left="851"/>
        <w:jc w:val="both"/>
        <w:rPr>
          <w:rFonts w:eastAsia="Wingdings" w:cs="Wingdings"/>
          <w:sz w:val="22"/>
          <w:szCs w:val="22"/>
        </w:rPr>
      </w:pPr>
    </w:p>
    <w:p w14:paraId="2D453385" w14:textId="77777777" w:rsidR="0038417A" w:rsidRPr="00C36C27" w:rsidRDefault="0038417A" w:rsidP="0038417A">
      <w:pPr>
        <w:pStyle w:val="Paragraphedeliste"/>
        <w:numPr>
          <w:ilvl w:val="0"/>
          <w:numId w:val="1"/>
        </w:numPr>
        <w:ind w:left="851"/>
        <w:jc w:val="both"/>
        <w:textAlignment w:val="baseline"/>
        <w:rPr>
          <w:rFonts w:eastAsia="Wingdings" w:cs="Wingdings"/>
          <w:sz w:val="22"/>
          <w:szCs w:val="22"/>
        </w:rPr>
      </w:pPr>
      <w:r>
        <w:rPr>
          <w:rFonts w:eastAsia="Wingdings" w:cs="Wingdings"/>
          <w:sz w:val="22"/>
          <w:szCs w:val="22"/>
        </w:rPr>
        <w:t>Débat : Zones d’Accélération des Energies Renouvelables / Procédure de concertation</w:t>
      </w:r>
    </w:p>
    <w:p w14:paraId="52D63E5F" w14:textId="77777777" w:rsidR="0038417A" w:rsidRPr="00C36C27" w:rsidRDefault="0038417A" w:rsidP="0038417A">
      <w:pPr>
        <w:ind w:left="851"/>
        <w:jc w:val="both"/>
        <w:rPr>
          <w:rFonts w:eastAsia="Wingdings" w:cs="Wingdings"/>
          <w:sz w:val="22"/>
          <w:szCs w:val="22"/>
        </w:rPr>
      </w:pPr>
    </w:p>
    <w:p w14:paraId="0023A02D" w14:textId="77777777" w:rsidR="0038417A" w:rsidRDefault="0038417A" w:rsidP="0038417A">
      <w:pPr>
        <w:pStyle w:val="Paragraphedeliste"/>
        <w:numPr>
          <w:ilvl w:val="0"/>
          <w:numId w:val="1"/>
        </w:numPr>
        <w:ind w:left="851"/>
        <w:jc w:val="both"/>
        <w:textAlignment w:val="baseline"/>
        <w:rPr>
          <w:rFonts w:eastAsia="Wingdings" w:cs="Wingdings"/>
          <w:sz w:val="22"/>
          <w:szCs w:val="22"/>
        </w:rPr>
      </w:pPr>
      <w:r w:rsidRPr="006E5919">
        <w:rPr>
          <w:rFonts w:eastAsia="Wingdings" w:cs="Wingdings"/>
          <w:sz w:val="22"/>
          <w:szCs w:val="22"/>
        </w:rPr>
        <w:t>Questions diverses</w:t>
      </w:r>
    </w:p>
    <w:p w14:paraId="71C493C5" w14:textId="77777777" w:rsidR="0038417A" w:rsidRDefault="0038417A" w:rsidP="0038417A">
      <w:pPr>
        <w:ind w:left="851"/>
        <w:jc w:val="both"/>
        <w:rPr>
          <w:b/>
          <w:sz w:val="22"/>
          <w:szCs w:val="22"/>
          <w:highlight w:val="yellow"/>
        </w:rPr>
      </w:pPr>
    </w:p>
    <w:p w14:paraId="1D65D9F7" w14:textId="77777777" w:rsidR="0038417A" w:rsidRDefault="0038417A" w:rsidP="0038417A"/>
    <w:p w14:paraId="6767A215" w14:textId="77777777" w:rsidR="0038417A" w:rsidRPr="00291BDC" w:rsidRDefault="0038417A" w:rsidP="0038417A">
      <w:pPr>
        <w:ind w:left="567"/>
        <w:jc w:val="center"/>
        <w:rPr>
          <w:sz w:val="24"/>
          <w:szCs w:val="24"/>
        </w:rPr>
      </w:pPr>
      <w:r w:rsidRPr="00291BDC">
        <w:rPr>
          <w:sz w:val="24"/>
          <w:szCs w:val="24"/>
        </w:rPr>
        <w:t>----------------------------------</w:t>
      </w:r>
    </w:p>
    <w:p w14:paraId="0DC1F92A" w14:textId="77777777" w:rsidR="0038417A" w:rsidRPr="00291BDC" w:rsidRDefault="0038417A" w:rsidP="0038417A">
      <w:pPr>
        <w:ind w:left="567"/>
        <w:jc w:val="both"/>
        <w:rPr>
          <w:b/>
          <w:bCs/>
          <w:sz w:val="24"/>
          <w:szCs w:val="24"/>
        </w:rPr>
      </w:pPr>
    </w:p>
    <w:p w14:paraId="65808B8F" w14:textId="77777777" w:rsidR="0038417A" w:rsidRPr="00291BDC" w:rsidRDefault="0038417A" w:rsidP="0038417A">
      <w:pPr>
        <w:pBdr>
          <w:bottom w:val="single" w:sz="12" w:space="1" w:color="auto"/>
        </w:pBdr>
        <w:ind w:left="567"/>
        <w:jc w:val="both"/>
        <w:rPr>
          <w:b/>
          <w:bCs/>
          <w:sz w:val="24"/>
          <w:szCs w:val="24"/>
        </w:rPr>
      </w:pPr>
      <w:r w:rsidRPr="00291BDC">
        <w:rPr>
          <w:b/>
          <w:bCs/>
          <w:sz w:val="24"/>
          <w:szCs w:val="24"/>
        </w:rPr>
        <w:t xml:space="preserve">Adoption du procès-verbal de la réunion du </w:t>
      </w:r>
      <w:r>
        <w:rPr>
          <w:b/>
          <w:bCs/>
          <w:sz w:val="24"/>
          <w:szCs w:val="24"/>
        </w:rPr>
        <w:t>22</w:t>
      </w:r>
      <w:r w:rsidRPr="00291BDC">
        <w:rPr>
          <w:b/>
          <w:bCs/>
          <w:sz w:val="24"/>
          <w:szCs w:val="24"/>
        </w:rPr>
        <w:t>/</w:t>
      </w:r>
      <w:r>
        <w:rPr>
          <w:b/>
          <w:bCs/>
          <w:sz w:val="24"/>
          <w:szCs w:val="24"/>
        </w:rPr>
        <w:t>12</w:t>
      </w:r>
      <w:r w:rsidRPr="00291BDC">
        <w:rPr>
          <w:b/>
          <w:bCs/>
          <w:sz w:val="24"/>
          <w:szCs w:val="24"/>
        </w:rPr>
        <w:t>/202</w:t>
      </w:r>
      <w:r>
        <w:rPr>
          <w:b/>
          <w:bCs/>
          <w:sz w:val="24"/>
          <w:szCs w:val="24"/>
        </w:rPr>
        <w:t>3</w:t>
      </w:r>
    </w:p>
    <w:p w14:paraId="0F76DBD9" w14:textId="77777777" w:rsidR="0038417A" w:rsidRPr="00291BDC" w:rsidRDefault="0038417A" w:rsidP="0038417A">
      <w:pPr>
        <w:pBdr>
          <w:bottom w:val="single" w:sz="12" w:space="1" w:color="auto"/>
        </w:pBdr>
        <w:ind w:left="567"/>
        <w:jc w:val="both"/>
        <w:rPr>
          <w:b/>
          <w:bCs/>
          <w:sz w:val="24"/>
          <w:szCs w:val="24"/>
        </w:rPr>
      </w:pPr>
    </w:p>
    <w:p w14:paraId="5DDCC0B6" w14:textId="77777777" w:rsidR="0038417A" w:rsidRPr="00291BDC" w:rsidRDefault="0038417A" w:rsidP="0038417A">
      <w:pPr>
        <w:pBdr>
          <w:bottom w:val="single" w:sz="12" w:space="1" w:color="auto"/>
        </w:pBdr>
        <w:ind w:left="567"/>
        <w:jc w:val="both"/>
        <w:rPr>
          <w:sz w:val="24"/>
          <w:szCs w:val="24"/>
        </w:rPr>
      </w:pPr>
      <w:r w:rsidRPr="0021593F">
        <w:rPr>
          <w:sz w:val="24"/>
          <w:szCs w:val="24"/>
        </w:rPr>
        <w:t>Pour :    1</w:t>
      </w:r>
      <w:r>
        <w:rPr>
          <w:sz w:val="24"/>
          <w:szCs w:val="24"/>
        </w:rPr>
        <w:t>4</w:t>
      </w:r>
      <w:r w:rsidRPr="0021593F">
        <w:rPr>
          <w:sz w:val="24"/>
          <w:szCs w:val="24"/>
        </w:rPr>
        <w:t xml:space="preserve">     Contre :    0           Abstention :   0</w:t>
      </w:r>
    </w:p>
    <w:p w14:paraId="78D9FEC0" w14:textId="77777777" w:rsidR="0038417A" w:rsidRPr="00291BDC" w:rsidRDefault="0038417A" w:rsidP="0038417A">
      <w:pPr>
        <w:pBdr>
          <w:bottom w:val="single" w:sz="12" w:space="1" w:color="auto"/>
        </w:pBdr>
        <w:ind w:left="567"/>
        <w:jc w:val="both"/>
        <w:rPr>
          <w:sz w:val="24"/>
          <w:szCs w:val="24"/>
        </w:rPr>
      </w:pPr>
    </w:p>
    <w:p w14:paraId="5E0EF685" w14:textId="77777777" w:rsidR="0038417A" w:rsidRDefault="0038417A" w:rsidP="0038417A">
      <w:pPr>
        <w:ind w:left="8496"/>
        <w:jc w:val="both"/>
      </w:pPr>
      <w:r>
        <w:tab/>
      </w:r>
    </w:p>
    <w:p w14:paraId="7F14465F" w14:textId="77777777" w:rsidR="0038417A" w:rsidRDefault="0038417A" w:rsidP="0038417A">
      <w:pPr>
        <w:ind w:left="8496"/>
        <w:jc w:val="both"/>
        <w:rPr>
          <w:rFonts w:eastAsia="Wingdings" w:cs="Wingdings"/>
          <w:sz w:val="18"/>
          <w:szCs w:val="18"/>
        </w:rPr>
      </w:pPr>
    </w:p>
    <w:p w14:paraId="47DCA698" w14:textId="77777777" w:rsidR="0038417A" w:rsidRPr="00CA20A2" w:rsidRDefault="0038417A" w:rsidP="0038417A">
      <w:pPr>
        <w:ind w:left="8496"/>
        <w:jc w:val="both"/>
        <w:rPr>
          <w:rFonts w:eastAsia="Wingdings" w:cs="Wingdings"/>
        </w:rPr>
      </w:pPr>
    </w:p>
    <w:p w14:paraId="76EFE743" w14:textId="77777777" w:rsidR="0038417A" w:rsidRPr="00291BDC" w:rsidRDefault="0038417A" w:rsidP="0038417A">
      <w:pPr>
        <w:pStyle w:val="Sansinterligne"/>
        <w:jc w:val="both"/>
        <w:rPr>
          <w:rFonts w:ascii="Times New Roman" w:hAnsi="Times New Roman" w:cs="Times New Roman"/>
          <w:b/>
          <w:bCs/>
          <w:sz w:val="24"/>
          <w:szCs w:val="24"/>
          <w:u w:val="single"/>
        </w:rPr>
      </w:pPr>
      <w:r>
        <w:rPr>
          <w:rFonts w:ascii="Times New Roman" w:hAnsi="Times New Roman" w:cs="Times New Roman"/>
          <w:sz w:val="20"/>
          <w:szCs w:val="20"/>
        </w:rPr>
        <w:tab/>
      </w:r>
      <w:r w:rsidRPr="00291BDC">
        <w:rPr>
          <w:rFonts w:ascii="Times New Roman" w:hAnsi="Times New Roman" w:cs="Times New Roman"/>
          <w:b/>
          <w:bCs/>
          <w:sz w:val="24"/>
          <w:szCs w:val="24"/>
          <w:u w:val="single"/>
        </w:rPr>
        <w:t>Décisions du maire (délégation du Conseil municipal en date du 11/09/2020)</w:t>
      </w:r>
    </w:p>
    <w:p w14:paraId="6C87F192" w14:textId="77777777" w:rsidR="0038417A" w:rsidRPr="00291BDC" w:rsidRDefault="0038417A" w:rsidP="0038417A">
      <w:pPr>
        <w:pStyle w:val="Sansinterligne"/>
        <w:jc w:val="both"/>
        <w:rPr>
          <w:rFonts w:ascii="Times New Roman" w:hAnsi="Times New Roman" w:cs="Times New Roman"/>
          <w:sz w:val="24"/>
          <w:szCs w:val="24"/>
          <w:u w:val="single"/>
        </w:rPr>
      </w:pPr>
    </w:p>
    <w:p w14:paraId="364B4E2C" w14:textId="77777777" w:rsidR="0038417A" w:rsidRPr="002F5497" w:rsidRDefault="0038417A" w:rsidP="0038417A">
      <w:pPr>
        <w:pStyle w:val="Sansinterligne"/>
        <w:ind w:left="750"/>
        <w:jc w:val="both"/>
        <w:rPr>
          <w:rFonts w:ascii="Times New Roman" w:hAnsi="Times New Roman" w:cs="Times New Roman"/>
          <w:i/>
          <w:iCs/>
          <w:sz w:val="28"/>
          <w:szCs w:val="28"/>
          <w:u w:val="single"/>
        </w:rPr>
      </w:pPr>
      <w:r>
        <w:rPr>
          <w:rFonts w:ascii="Times New Roman" w:hAnsi="Times New Roman" w:cs="Times New Roman"/>
        </w:rPr>
        <w:t>/</w:t>
      </w:r>
    </w:p>
    <w:p w14:paraId="0202C9A0" w14:textId="77777777" w:rsidR="0038417A" w:rsidRDefault="0038417A" w:rsidP="0038417A">
      <w:pPr>
        <w:numPr>
          <w:ilvl w:val="12"/>
          <w:numId w:val="0"/>
        </w:numPr>
        <w:ind w:left="1418"/>
        <w:jc w:val="both"/>
        <w:rPr>
          <w:sz w:val="22"/>
          <w:szCs w:val="22"/>
          <w:u w:val="single"/>
        </w:rPr>
      </w:pPr>
    </w:p>
    <w:p w14:paraId="3FFDB838" w14:textId="77777777" w:rsidR="0038417A" w:rsidRDefault="0038417A" w:rsidP="0038417A">
      <w:pPr>
        <w:numPr>
          <w:ilvl w:val="12"/>
          <w:numId w:val="0"/>
        </w:numPr>
        <w:ind w:left="1418"/>
        <w:jc w:val="both"/>
        <w:rPr>
          <w:sz w:val="22"/>
          <w:szCs w:val="22"/>
          <w:u w:val="single"/>
        </w:rPr>
      </w:pPr>
    </w:p>
    <w:p w14:paraId="6C9081C0" w14:textId="77777777" w:rsidR="001D5B03" w:rsidRPr="001D5B03" w:rsidRDefault="001D5B03" w:rsidP="001D5B03">
      <w:pPr>
        <w:pStyle w:val="Paragraphedeliste"/>
        <w:ind w:left="426"/>
        <w:jc w:val="both"/>
        <w:textAlignment w:val="baseline"/>
        <w:rPr>
          <w:rFonts w:eastAsia="Wingdings" w:cs="Wingdings"/>
          <w:b/>
          <w:bCs/>
          <w:sz w:val="28"/>
          <w:szCs w:val="28"/>
        </w:rPr>
      </w:pPr>
    </w:p>
    <w:p w14:paraId="3166001D" w14:textId="43DC114D" w:rsidR="0038417A" w:rsidRPr="0079024B" w:rsidRDefault="0038417A" w:rsidP="0038417A">
      <w:pPr>
        <w:pStyle w:val="Paragraphedeliste"/>
        <w:numPr>
          <w:ilvl w:val="0"/>
          <w:numId w:val="9"/>
        </w:numPr>
        <w:ind w:left="426"/>
        <w:jc w:val="both"/>
        <w:textAlignment w:val="baseline"/>
        <w:rPr>
          <w:rFonts w:eastAsia="Wingdings" w:cs="Wingdings"/>
          <w:b/>
          <w:bCs/>
          <w:sz w:val="28"/>
          <w:szCs w:val="28"/>
        </w:rPr>
      </w:pPr>
      <w:r w:rsidRPr="0079024B">
        <w:rPr>
          <w:rFonts w:eastAsia="Wingdings" w:cs="Wingdings"/>
          <w:b/>
          <w:bCs/>
          <w:sz w:val="28"/>
          <w:szCs w:val="28"/>
          <w:u w:val="single"/>
        </w:rPr>
        <w:lastRenderedPageBreak/>
        <w:t>Personnel</w:t>
      </w:r>
    </w:p>
    <w:p w14:paraId="311F29AF" w14:textId="77777777" w:rsidR="0038417A" w:rsidRDefault="0038417A" w:rsidP="0038417A">
      <w:pPr>
        <w:jc w:val="both"/>
        <w:rPr>
          <w:rFonts w:eastAsia="Wingdings" w:cs="Wingdings"/>
          <w:sz w:val="28"/>
          <w:szCs w:val="28"/>
        </w:rPr>
      </w:pPr>
    </w:p>
    <w:p w14:paraId="138EED8D" w14:textId="77777777" w:rsidR="0038417A" w:rsidRPr="001D5B03" w:rsidRDefault="0038417A" w:rsidP="0038417A">
      <w:pPr>
        <w:pStyle w:val="Paragraphedeliste"/>
        <w:numPr>
          <w:ilvl w:val="0"/>
          <w:numId w:val="10"/>
        </w:numPr>
        <w:jc w:val="both"/>
        <w:rPr>
          <w:rFonts w:eastAsia="Wingdings" w:cs="Wingdings"/>
          <w:b/>
          <w:bCs/>
          <w:sz w:val="24"/>
          <w:szCs w:val="24"/>
        </w:rPr>
      </w:pPr>
      <w:r w:rsidRPr="001D5B03">
        <w:rPr>
          <w:rFonts w:eastAsia="Wingdings" w:cs="Wingdings"/>
          <w:b/>
          <w:bCs/>
          <w:sz w:val="24"/>
          <w:szCs w:val="24"/>
        </w:rPr>
        <w:t>Protection sociale complémentaire</w:t>
      </w:r>
    </w:p>
    <w:p w14:paraId="6D3BFEEE" w14:textId="77777777" w:rsidR="0038417A" w:rsidRDefault="0038417A" w:rsidP="0038417A">
      <w:pPr>
        <w:jc w:val="both"/>
        <w:rPr>
          <w:rFonts w:eastAsia="Wingdings" w:cs="Wingdings"/>
          <w:sz w:val="22"/>
          <w:szCs w:val="22"/>
        </w:rPr>
      </w:pPr>
    </w:p>
    <w:p w14:paraId="668D415B" w14:textId="15B66481" w:rsidR="001D5B03" w:rsidRPr="001D5B03" w:rsidRDefault="001D5B03" w:rsidP="001D5B03">
      <w:pPr>
        <w:ind w:left="708"/>
        <w:jc w:val="both"/>
        <w:rPr>
          <w:rFonts w:eastAsia="Wingdings" w:cs="Wingdings"/>
          <w:b/>
          <w:bCs/>
          <w:sz w:val="22"/>
          <w:szCs w:val="22"/>
        </w:rPr>
      </w:pPr>
      <w:r>
        <w:rPr>
          <w:rFonts w:eastAsia="Wingdings" w:cs="Wingdings"/>
          <w:b/>
          <w:bCs/>
          <w:sz w:val="22"/>
          <w:szCs w:val="22"/>
        </w:rPr>
        <w:t>Délibération n° 2024/01</w:t>
      </w:r>
    </w:p>
    <w:p w14:paraId="641220B6" w14:textId="77777777" w:rsidR="001D5B03" w:rsidRDefault="001D5B03" w:rsidP="0038417A">
      <w:pPr>
        <w:jc w:val="both"/>
        <w:rPr>
          <w:rFonts w:eastAsia="Wingdings" w:cs="Wingdings"/>
          <w:sz w:val="22"/>
          <w:szCs w:val="22"/>
        </w:rPr>
      </w:pPr>
    </w:p>
    <w:p w14:paraId="411D2CF8" w14:textId="77777777" w:rsidR="001D5B03" w:rsidRDefault="001D5B03" w:rsidP="0038417A">
      <w:pPr>
        <w:jc w:val="both"/>
        <w:rPr>
          <w:rFonts w:eastAsia="Wingdings" w:cs="Wingdings"/>
          <w:sz w:val="22"/>
          <w:szCs w:val="22"/>
        </w:rPr>
      </w:pPr>
    </w:p>
    <w:p w14:paraId="31AFDFF5" w14:textId="77777777" w:rsidR="0038417A" w:rsidRDefault="0038417A" w:rsidP="0038417A">
      <w:pPr>
        <w:pStyle w:val="Paragraphedeliste"/>
        <w:numPr>
          <w:ilvl w:val="0"/>
          <w:numId w:val="11"/>
        </w:numPr>
        <w:ind w:left="709"/>
        <w:jc w:val="both"/>
        <w:textAlignment w:val="baseline"/>
        <w:rPr>
          <w:rFonts w:eastAsia="Wingdings" w:cs="Wingdings"/>
          <w:sz w:val="22"/>
          <w:szCs w:val="22"/>
        </w:rPr>
      </w:pPr>
      <w:r>
        <w:rPr>
          <w:rFonts w:eastAsia="Wingdings" w:cs="Wingdings"/>
          <w:sz w:val="22"/>
          <w:szCs w:val="22"/>
        </w:rPr>
        <w:t>Le Maire,  </w:t>
      </w:r>
    </w:p>
    <w:p w14:paraId="432F7845" w14:textId="77777777" w:rsidR="0038417A" w:rsidRDefault="0038417A" w:rsidP="0038417A">
      <w:pPr>
        <w:jc w:val="both"/>
        <w:rPr>
          <w:rFonts w:eastAsia="Wingdings" w:cs="Wingdings"/>
          <w:sz w:val="22"/>
          <w:szCs w:val="22"/>
        </w:rPr>
      </w:pPr>
    </w:p>
    <w:p w14:paraId="0F25C6BC" w14:textId="77777777" w:rsidR="0038417A" w:rsidRDefault="0038417A" w:rsidP="0038417A">
      <w:pPr>
        <w:ind w:left="426"/>
        <w:jc w:val="both"/>
        <w:rPr>
          <w:rFonts w:eastAsia="Wingdings" w:cs="Wingdings"/>
          <w:sz w:val="22"/>
          <w:szCs w:val="22"/>
        </w:rPr>
      </w:pPr>
      <w:r>
        <w:rPr>
          <w:rFonts w:eastAsia="Wingdings" w:cs="Wingdings"/>
          <w:sz w:val="22"/>
          <w:szCs w:val="22"/>
        </w:rPr>
        <w:t>La protection sociale se décline en deux volets :</w:t>
      </w:r>
    </w:p>
    <w:p w14:paraId="3745E1B4" w14:textId="77777777" w:rsidR="0038417A" w:rsidRPr="009C47BB" w:rsidRDefault="0038417A" w:rsidP="0038417A">
      <w:pPr>
        <w:pStyle w:val="Paragraphedeliste"/>
        <w:numPr>
          <w:ilvl w:val="0"/>
          <w:numId w:val="3"/>
        </w:numPr>
        <w:jc w:val="both"/>
        <w:textAlignment w:val="baseline"/>
        <w:rPr>
          <w:rFonts w:eastAsia="Wingdings" w:cs="Wingdings"/>
          <w:b/>
          <w:bCs/>
          <w:sz w:val="22"/>
          <w:szCs w:val="22"/>
        </w:rPr>
      </w:pPr>
      <w:r>
        <w:rPr>
          <w:rFonts w:eastAsia="Wingdings" w:cs="Wingdings"/>
          <w:sz w:val="22"/>
          <w:szCs w:val="22"/>
        </w:rPr>
        <w:t xml:space="preserve">Le </w:t>
      </w:r>
      <w:r w:rsidRPr="009C47BB">
        <w:rPr>
          <w:rFonts w:eastAsia="Wingdings" w:cs="Wingdings"/>
          <w:b/>
          <w:bCs/>
          <w:sz w:val="22"/>
          <w:szCs w:val="22"/>
        </w:rPr>
        <w:t>volet prévoyance</w:t>
      </w:r>
      <w:r>
        <w:rPr>
          <w:rFonts w:eastAsia="Wingdings" w:cs="Wingdings"/>
          <w:b/>
          <w:bCs/>
          <w:sz w:val="22"/>
          <w:szCs w:val="22"/>
        </w:rPr>
        <w:t xml:space="preserve"> </w:t>
      </w:r>
      <w:r>
        <w:rPr>
          <w:rFonts w:eastAsia="Wingdings" w:cs="Wingdings"/>
          <w:sz w:val="22"/>
          <w:szCs w:val="22"/>
        </w:rPr>
        <w:t>dont l’objet est de maintenir la rémunération des agents dans le cadre d’une incapacité temporaire de travail, d’une invalidité, d’inaptitude ou de décès.</w:t>
      </w:r>
    </w:p>
    <w:p w14:paraId="0EF09434" w14:textId="77777777" w:rsidR="0038417A" w:rsidRPr="009C47BB" w:rsidRDefault="0038417A" w:rsidP="0038417A">
      <w:pPr>
        <w:pStyle w:val="Paragraphedeliste"/>
        <w:numPr>
          <w:ilvl w:val="0"/>
          <w:numId w:val="3"/>
        </w:numPr>
        <w:jc w:val="both"/>
        <w:textAlignment w:val="baseline"/>
        <w:rPr>
          <w:rFonts w:eastAsia="Wingdings" w:cs="Wingdings"/>
          <w:b/>
          <w:bCs/>
          <w:sz w:val="22"/>
          <w:szCs w:val="22"/>
        </w:rPr>
      </w:pPr>
      <w:r>
        <w:rPr>
          <w:rFonts w:eastAsia="Wingdings" w:cs="Wingdings"/>
          <w:sz w:val="22"/>
          <w:szCs w:val="22"/>
        </w:rPr>
        <w:t xml:space="preserve">Le </w:t>
      </w:r>
      <w:r w:rsidRPr="009C47BB">
        <w:rPr>
          <w:rFonts w:eastAsia="Wingdings" w:cs="Wingdings"/>
          <w:b/>
          <w:bCs/>
          <w:sz w:val="22"/>
          <w:szCs w:val="22"/>
        </w:rPr>
        <w:t>volet santé</w:t>
      </w:r>
      <w:r>
        <w:rPr>
          <w:rFonts w:eastAsia="Wingdings" w:cs="Wingdings"/>
          <w:b/>
          <w:bCs/>
          <w:sz w:val="22"/>
          <w:szCs w:val="22"/>
        </w:rPr>
        <w:t xml:space="preserve"> </w:t>
      </w:r>
      <w:r>
        <w:rPr>
          <w:rFonts w:eastAsia="Wingdings" w:cs="Wingdings"/>
          <w:sz w:val="22"/>
          <w:szCs w:val="22"/>
        </w:rPr>
        <w:t>ayant pour but de couvrir les frais liés à l’indisponibilité physique (maladie, accident) ou à la maternité.</w:t>
      </w:r>
    </w:p>
    <w:p w14:paraId="3E725240" w14:textId="77777777" w:rsidR="0038417A" w:rsidRDefault="0038417A" w:rsidP="0038417A">
      <w:pPr>
        <w:jc w:val="both"/>
        <w:rPr>
          <w:rFonts w:eastAsia="Wingdings" w:cs="Wingdings"/>
          <w:b/>
          <w:bCs/>
          <w:sz w:val="22"/>
          <w:szCs w:val="22"/>
        </w:rPr>
      </w:pPr>
    </w:p>
    <w:p w14:paraId="42CA4667" w14:textId="77777777" w:rsidR="0038417A" w:rsidRDefault="0038417A" w:rsidP="0038417A">
      <w:pPr>
        <w:ind w:left="426"/>
        <w:jc w:val="both"/>
        <w:rPr>
          <w:rFonts w:eastAsia="Wingdings" w:cs="Wingdings"/>
          <w:sz w:val="22"/>
          <w:szCs w:val="22"/>
        </w:rPr>
      </w:pPr>
      <w:r w:rsidRPr="009C47BB">
        <w:rPr>
          <w:rFonts w:eastAsia="Wingdings" w:cs="Wingdings"/>
          <w:sz w:val="22"/>
          <w:szCs w:val="22"/>
        </w:rPr>
        <w:t>Annoncée par la loi n° 2019-828 du 6 août</w:t>
      </w:r>
      <w:r>
        <w:rPr>
          <w:rFonts w:eastAsia="Wingdings" w:cs="Wingdings"/>
          <w:sz w:val="22"/>
          <w:szCs w:val="22"/>
        </w:rPr>
        <w:t xml:space="preserve"> 2019 puis instaurée par l’ordonnance n° 2021-175, la réforme de la protection sociale complémentaire redéfinit la participation de l’employeur aux financements des garanties de la protection sociale complémentaire de ses agents et les conditions d’adhésion ou de souscription.</w:t>
      </w:r>
    </w:p>
    <w:p w14:paraId="64FBBF7F" w14:textId="77777777" w:rsidR="0038417A" w:rsidRDefault="0038417A" w:rsidP="0038417A">
      <w:pPr>
        <w:ind w:left="426"/>
        <w:jc w:val="both"/>
        <w:rPr>
          <w:rFonts w:eastAsia="Wingdings" w:cs="Wingdings"/>
          <w:sz w:val="22"/>
          <w:szCs w:val="22"/>
        </w:rPr>
      </w:pPr>
    </w:p>
    <w:p w14:paraId="28EE626D" w14:textId="77777777" w:rsidR="0038417A" w:rsidRDefault="0038417A" w:rsidP="0038417A">
      <w:pPr>
        <w:ind w:left="426"/>
        <w:jc w:val="both"/>
        <w:rPr>
          <w:rFonts w:eastAsia="Wingdings" w:cs="Wingdings"/>
          <w:b/>
          <w:bCs/>
          <w:sz w:val="22"/>
          <w:szCs w:val="22"/>
        </w:rPr>
      </w:pPr>
      <w:r>
        <w:rPr>
          <w:rFonts w:eastAsia="Wingdings" w:cs="Wingdings"/>
          <w:sz w:val="22"/>
          <w:szCs w:val="22"/>
        </w:rPr>
        <w:t xml:space="preserve">En ce sens, la participation de l’employeur perd son caractère facultatif </w:t>
      </w:r>
      <w:r w:rsidRPr="00017DC7">
        <w:rPr>
          <w:rFonts w:eastAsia="Wingdings" w:cs="Wingdings"/>
          <w:b/>
          <w:bCs/>
          <w:sz w:val="22"/>
          <w:szCs w:val="22"/>
        </w:rPr>
        <w:t>pour devenir obligatoire à compter du 1</w:t>
      </w:r>
      <w:r w:rsidRPr="00017DC7">
        <w:rPr>
          <w:rFonts w:eastAsia="Wingdings" w:cs="Wingdings"/>
          <w:b/>
          <w:bCs/>
          <w:sz w:val="22"/>
          <w:szCs w:val="22"/>
          <w:vertAlign w:val="superscript"/>
        </w:rPr>
        <w:t>er</w:t>
      </w:r>
      <w:r w:rsidRPr="00017DC7">
        <w:rPr>
          <w:rFonts w:eastAsia="Wingdings" w:cs="Wingdings"/>
          <w:b/>
          <w:bCs/>
          <w:sz w:val="22"/>
          <w:szCs w:val="22"/>
        </w:rPr>
        <w:t xml:space="preserve"> janvier 2025 (volet prévoyance) et du 1</w:t>
      </w:r>
      <w:r w:rsidRPr="00017DC7">
        <w:rPr>
          <w:rFonts w:eastAsia="Wingdings" w:cs="Wingdings"/>
          <w:b/>
          <w:bCs/>
          <w:sz w:val="22"/>
          <w:szCs w:val="22"/>
          <w:vertAlign w:val="superscript"/>
        </w:rPr>
        <w:t>er</w:t>
      </w:r>
      <w:r w:rsidRPr="00017DC7">
        <w:rPr>
          <w:rFonts w:eastAsia="Wingdings" w:cs="Wingdings"/>
          <w:b/>
          <w:bCs/>
          <w:sz w:val="22"/>
          <w:szCs w:val="22"/>
        </w:rPr>
        <w:t xml:space="preserve"> janvier 2026 (volet santé).</w:t>
      </w:r>
    </w:p>
    <w:p w14:paraId="5C42A9AA" w14:textId="77777777" w:rsidR="0038417A" w:rsidRDefault="0038417A" w:rsidP="0038417A">
      <w:pPr>
        <w:ind w:left="426"/>
        <w:jc w:val="both"/>
        <w:rPr>
          <w:rFonts w:eastAsia="Wingdings" w:cs="Wingdings"/>
          <w:b/>
          <w:bCs/>
          <w:sz w:val="22"/>
          <w:szCs w:val="22"/>
        </w:rPr>
      </w:pPr>
    </w:p>
    <w:p w14:paraId="0473D633" w14:textId="77777777" w:rsidR="0038417A" w:rsidRDefault="0038417A" w:rsidP="0038417A">
      <w:pPr>
        <w:pStyle w:val="Paragraphedeliste"/>
        <w:numPr>
          <w:ilvl w:val="0"/>
          <w:numId w:val="4"/>
        </w:numPr>
        <w:ind w:left="851"/>
        <w:jc w:val="both"/>
        <w:textAlignment w:val="baseline"/>
        <w:rPr>
          <w:rFonts w:eastAsia="Wingdings" w:cs="Wingdings"/>
          <w:sz w:val="22"/>
          <w:szCs w:val="22"/>
        </w:rPr>
      </w:pPr>
      <w:r w:rsidRPr="00017DC7">
        <w:rPr>
          <w:rFonts w:eastAsia="Wingdings" w:cs="Wingdings"/>
          <w:sz w:val="22"/>
          <w:szCs w:val="22"/>
        </w:rPr>
        <w:t>Un accord collectif national en date du 11 juillet 2023 a abouti à des mesures protectrices pour les agents :</w:t>
      </w:r>
    </w:p>
    <w:p w14:paraId="6AED042B" w14:textId="77777777" w:rsidR="0038417A" w:rsidRDefault="0038417A" w:rsidP="0038417A">
      <w:pPr>
        <w:ind w:left="851"/>
        <w:jc w:val="both"/>
        <w:rPr>
          <w:rFonts w:eastAsia="Wingdings" w:cs="Wingdings"/>
          <w:sz w:val="22"/>
          <w:szCs w:val="22"/>
        </w:rPr>
      </w:pPr>
    </w:p>
    <w:p w14:paraId="21C5D4D1" w14:textId="77777777" w:rsidR="0038417A" w:rsidRDefault="0038417A" w:rsidP="0038417A">
      <w:pPr>
        <w:pStyle w:val="Paragraphedeliste"/>
        <w:numPr>
          <w:ilvl w:val="0"/>
          <w:numId w:val="3"/>
        </w:numPr>
        <w:jc w:val="both"/>
        <w:textAlignment w:val="baseline"/>
        <w:rPr>
          <w:rFonts w:eastAsia="Wingdings" w:cs="Wingdings"/>
          <w:sz w:val="22"/>
          <w:szCs w:val="22"/>
        </w:rPr>
      </w:pPr>
      <w:r>
        <w:rPr>
          <w:rFonts w:eastAsia="Wingdings" w:cs="Wingdings"/>
          <w:sz w:val="22"/>
          <w:szCs w:val="22"/>
        </w:rPr>
        <w:t>La participation au volet prévoyance a été étendue à un montant minimal de 50 % de la cotisation payées par les agents.</w:t>
      </w:r>
    </w:p>
    <w:p w14:paraId="3D821EAE" w14:textId="77777777" w:rsidR="0038417A" w:rsidRDefault="0038417A" w:rsidP="0038417A">
      <w:pPr>
        <w:pStyle w:val="Paragraphedeliste"/>
        <w:numPr>
          <w:ilvl w:val="0"/>
          <w:numId w:val="3"/>
        </w:numPr>
        <w:jc w:val="both"/>
        <w:textAlignment w:val="baseline"/>
        <w:rPr>
          <w:rFonts w:eastAsia="Wingdings" w:cs="Wingdings"/>
          <w:sz w:val="22"/>
          <w:szCs w:val="22"/>
        </w:rPr>
      </w:pPr>
      <w:r>
        <w:rPr>
          <w:rFonts w:eastAsia="Wingdings" w:cs="Wingdings"/>
          <w:sz w:val="22"/>
          <w:szCs w:val="22"/>
        </w:rPr>
        <w:t>L’accord impose la forme d’un contrat collectif auquel les agents auront l’obligation d’adhérer si l’employeur y souscrit et dont les garanties doivent prévoir un maintien de 90 % de la rémunération pour ce volet.</w:t>
      </w:r>
    </w:p>
    <w:p w14:paraId="43DFE15D" w14:textId="77777777" w:rsidR="0038417A" w:rsidRDefault="0038417A" w:rsidP="0038417A">
      <w:pPr>
        <w:pStyle w:val="Paragraphedeliste"/>
        <w:numPr>
          <w:ilvl w:val="0"/>
          <w:numId w:val="3"/>
        </w:numPr>
        <w:jc w:val="both"/>
        <w:textAlignment w:val="baseline"/>
        <w:rPr>
          <w:rFonts w:eastAsia="Wingdings" w:cs="Wingdings"/>
          <w:sz w:val="22"/>
          <w:szCs w:val="22"/>
        </w:rPr>
      </w:pPr>
      <w:r>
        <w:rPr>
          <w:rFonts w:eastAsia="Wingdings" w:cs="Wingdings"/>
          <w:sz w:val="22"/>
          <w:szCs w:val="22"/>
        </w:rPr>
        <w:t>L’obligation de conclure un accord à l’issue d’une négociation collective locale.</w:t>
      </w:r>
    </w:p>
    <w:p w14:paraId="7ED572B1" w14:textId="77777777" w:rsidR="0038417A" w:rsidRDefault="0038417A" w:rsidP="0038417A">
      <w:pPr>
        <w:jc w:val="both"/>
        <w:rPr>
          <w:rFonts w:eastAsia="Wingdings" w:cs="Wingdings"/>
          <w:sz w:val="22"/>
          <w:szCs w:val="22"/>
        </w:rPr>
      </w:pPr>
    </w:p>
    <w:p w14:paraId="5D9DDC32" w14:textId="77777777" w:rsidR="0038417A" w:rsidRDefault="0038417A" w:rsidP="0038417A">
      <w:pPr>
        <w:jc w:val="both"/>
        <w:rPr>
          <w:rFonts w:eastAsia="Wingdings" w:cs="Wingdings"/>
          <w:sz w:val="22"/>
          <w:szCs w:val="22"/>
        </w:rPr>
      </w:pPr>
    </w:p>
    <w:p w14:paraId="0C155996" w14:textId="77777777" w:rsidR="0038417A" w:rsidRDefault="0038417A" w:rsidP="0038417A">
      <w:pPr>
        <w:pStyle w:val="Paragraphedeliste"/>
        <w:numPr>
          <w:ilvl w:val="0"/>
          <w:numId w:val="4"/>
        </w:numPr>
        <w:ind w:left="993"/>
        <w:jc w:val="both"/>
        <w:textAlignment w:val="baseline"/>
        <w:rPr>
          <w:rFonts w:eastAsia="Wingdings" w:cs="Wingdings"/>
          <w:sz w:val="22"/>
          <w:szCs w:val="22"/>
        </w:rPr>
      </w:pPr>
      <w:r>
        <w:rPr>
          <w:rFonts w:eastAsia="Wingdings" w:cs="Wingdings"/>
          <w:sz w:val="22"/>
          <w:szCs w:val="22"/>
        </w:rPr>
        <w:t>Les Centres de Gestion doivent conclure, pour le compte des collectivités territoriales et établissements publics, des conventions de participation au titre de la protection sociale complémentaire. La convention de participation a pour but de sélectionner un seul contrat pour le risque donné, ouvrant ainsi droit aux garanties prévues par les textes.</w:t>
      </w:r>
    </w:p>
    <w:p w14:paraId="2A1A86CA" w14:textId="77777777" w:rsidR="0038417A" w:rsidRDefault="0038417A" w:rsidP="0038417A">
      <w:pPr>
        <w:jc w:val="both"/>
        <w:rPr>
          <w:rFonts w:eastAsia="Wingdings" w:cs="Wingdings"/>
          <w:sz w:val="22"/>
          <w:szCs w:val="22"/>
        </w:rPr>
      </w:pPr>
    </w:p>
    <w:p w14:paraId="56B1CF2B" w14:textId="77777777" w:rsidR="0038417A" w:rsidRDefault="0038417A" w:rsidP="0038417A">
      <w:pPr>
        <w:ind w:left="993"/>
        <w:jc w:val="both"/>
        <w:rPr>
          <w:rFonts w:eastAsia="Wingdings" w:cs="Wingdings"/>
          <w:b/>
          <w:bCs/>
          <w:sz w:val="22"/>
          <w:szCs w:val="22"/>
        </w:rPr>
      </w:pPr>
      <w:r w:rsidRPr="00D97B59">
        <w:rPr>
          <w:rFonts w:eastAsia="Wingdings" w:cs="Wingdings"/>
          <w:b/>
          <w:bCs/>
          <w:sz w:val="22"/>
          <w:szCs w:val="22"/>
        </w:rPr>
        <w:t xml:space="preserve">Le Conseil municipal doit autoriser le CDG87 à lancer la passation de la convention de participation en vue de souscrire un contrat collectif. La procédure comprendra ainsi une négociation </w:t>
      </w:r>
      <w:r>
        <w:rPr>
          <w:rFonts w:eastAsia="Wingdings" w:cs="Wingdings"/>
          <w:b/>
          <w:bCs/>
          <w:sz w:val="22"/>
          <w:szCs w:val="22"/>
        </w:rPr>
        <w:t>avec</w:t>
      </w:r>
      <w:r w:rsidRPr="00D97B59">
        <w:rPr>
          <w:rFonts w:eastAsia="Wingdings" w:cs="Wingdings"/>
          <w:b/>
          <w:bCs/>
          <w:sz w:val="22"/>
          <w:szCs w:val="22"/>
        </w:rPr>
        <w:t xml:space="preserve"> les employeurs publics territoriaux et les organisations syndicales représentatives aux comités sociaux territoriaux. </w:t>
      </w:r>
    </w:p>
    <w:p w14:paraId="7E659203" w14:textId="77777777" w:rsidR="0038417A" w:rsidRPr="00D97B59" w:rsidRDefault="0038417A" w:rsidP="0038417A">
      <w:pPr>
        <w:ind w:left="993"/>
        <w:jc w:val="both"/>
        <w:rPr>
          <w:rFonts w:eastAsia="Wingdings" w:cs="Wingdings"/>
          <w:b/>
          <w:bCs/>
          <w:sz w:val="22"/>
          <w:szCs w:val="22"/>
        </w:rPr>
      </w:pPr>
    </w:p>
    <w:p w14:paraId="199F84CA" w14:textId="77777777" w:rsidR="0038417A" w:rsidRPr="005031C4" w:rsidRDefault="0038417A" w:rsidP="0038417A">
      <w:pPr>
        <w:pStyle w:val="Paragraphedeliste"/>
        <w:numPr>
          <w:ilvl w:val="0"/>
          <w:numId w:val="4"/>
        </w:numPr>
        <w:ind w:left="1134"/>
        <w:jc w:val="both"/>
        <w:textAlignment w:val="baseline"/>
        <w:rPr>
          <w:rFonts w:eastAsia="Wingdings" w:cs="Wingdings"/>
          <w:sz w:val="22"/>
          <w:szCs w:val="22"/>
        </w:rPr>
      </w:pPr>
      <w:r>
        <w:rPr>
          <w:rFonts w:eastAsia="Wingdings" w:cs="Wingdings"/>
          <w:sz w:val="22"/>
          <w:szCs w:val="22"/>
        </w:rPr>
        <w:t>L’objectif est la conclusion d’un accord local sur la base duquel une consultation sera menée par le CDG87 pour sélectionner un organisme d’assurance permettant de proposer aux employeurs des garanties d’assurance collective protectrices pour les agents. Les offres seront d’autant plus intéressantes dans le cadre d’une mutualisation si un maximum d’employeurs y adhère.</w:t>
      </w:r>
    </w:p>
    <w:p w14:paraId="17B5EB10" w14:textId="77777777" w:rsidR="0038417A" w:rsidRDefault="0038417A" w:rsidP="0038417A">
      <w:pPr>
        <w:pStyle w:val="Paragraphedeliste"/>
        <w:ind w:left="1626"/>
        <w:jc w:val="both"/>
        <w:rPr>
          <w:rFonts w:eastAsia="Wingdings" w:cs="Wingdings"/>
          <w:sz w:val="22"/>
          <w:szCs w:val="22"/>
          <w:highlight w:val="yellow"/>
        </w:rPr>
      </w:pPr>
    </w:p>
    <w:p w14:paraId="390788B3" w14:textId="77777777" w:rsidR="0038417A" w:rsidRDefault="0038417A" w:rsidP="0038417A">
      <w:pPr>
        <w:pStyle w:val="Paragraphedeliste"/>
        <w:ind w:left="993"/>
        <w:jc w:val="both"/>
        <w:rPr>
          <w:rFonts w:eastAsia="Wingdings" w:cs="Wingdings"/>
          <w:sz w:val="22"/>
          <w:szCs w:val="22"/>
        </w:rPr>
      </w:pPr>
      <w:r w:rsidRPr="0079024B">
        <w:rPr>
          <w:rFonts w:eastAsia="Wingdings" w:cs="Wingdings"/>
          <w:sz w:val="22"/>
          <w:szCs w:val="22"/>
        </w:rPr>
        <w:t xml:space="preserve">Le Conseil </w:t>
      </w:r>
      <w:r>
        <w:rPr>
          <w:rFonts w:eastAsia="Wingdings" w:cs="Wingdings"/>
          <w:sz w:val="22"/>
          <w:szCs w:val="22"/>
        </w:rPr>
        <w:t>municipal, après en avoir délibéré,</w:t>
      </w:r>
    </w:p>
    <w:p w14:paraId="7114043B" w14:textId="77777777" w:rsidR="0038417A" w:rsidRDefault="0038417A" w:rsidP="0038417A">
      <w:pPr>
        <w:pStyle w:val="Paragraphedeliste"/>
        <w:ind w:left="993"/>
        <w:jc w:val="both"/>
        <w:rPr>
          <w:rFonts w:eastAsia="Wingdings" w:cs="Wingdings"/>
          <w:sz w:val="22"/>
          <w:szCs w:val="22"/>
        </w:rPr>
      </w:pPr>
      <w:r>
        <w:rPr>
          <w:rFonts w:eastAsia="Wingdings" w:cs="Wingdings"/>
          <w:sz w:val="22"/>
          <w:szCs w:val="22"/>
        </w:rPr>
        <w:t>Pour :  14          Contre :   0      Abstention :      0</w:t>
      </w:r>
    </w:p>
    <w:p w14:paraId="27F33708" w14:textId="77777777" w:rsidR="0038417A" w:rsidRDefault="0038417A" w:rsidP="0038417A">
      <w:pPr>
        <w:pStyle w:val="Paragraphedeliste"/>
        <w:ind w:left="993"/>
        <w:jc w:val="both"/>
        <w:rPr>
          <w:rFonts w:eastAsia="Wingdings" w:cs="Wingdings"/>
          <w:sz w:val="22"/>
          <w:szCs w:val="22"/>
        </w:rPr>
      </w:pPr>
    </w:p>
    <w:p w14:paraId="2163E606" w14:textId="4ED45C0C" w:rsidR="0038417A" w:rsidRPr="00AF5314" w:rsidRDefault="0038417A" w:rsidP="0038417A">
      <w:pPr>
        <w:pStyle w:val="Paragraphedeliste"/>
        <w:ind w:left="993"/>
        <w:jc w:val="both"/>
        <w:rPr>
          <w:rFonts w:eastAsia="Wingdings" w:cs="Wingdings"/>
        </w:rPr>
      </w:pPr>
      <w:r>
        <w:rPr>
          <w:rFonts w:eastAsia="Wingdings" w:cs="Wingdings"/>
          <w:sz w:val="22"/>
          <w:szCs w:val="22"/>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p>
    <w:p w14:paraId="26B4DA95" w14:textId="77777777" w:rsidR="0038417A" w:rsidRPr="0035122C" w:rsidRDefault="0038417A" w:rsidP="0038417A">
      <w:pPr>
        <w:pStyle w:val="Paragraphedeliste"/>
        <w:ind w:left="993"/>
        <w:jc w:val="both"/>
        <w:rPr>
          <w:rFonts w:eastAsia="Wingdings" w:cs="Wingdings"/>
          <w:b/>
          <w:bCs/>
          <w:sz w:val="22"/>
          <w:szCs w:val="22"/>
        </w:rPr>
      </w:pPr>
      <w:r w:rsidRPr="0035122C">
        <w:rPr>
          <w:rFonts w:eastAsia="Wingdings" w:cs="Wingdings"/>
          <w:b/>
          <w:bCs/>
          <w:sz w:val="22"/>
          <w:szCs w:val="22"/>
        </w:rPr>
        <w:lastRenderedPageBreak/>
        <w:t>DECIDE</w:t>
      </w:r>
      <w:r>
        <w:rPr>
          <w:rFonts w:eastAsia="Wingdings" w:cs="Wingdings"/>
          <w:b/>
          <w:bCs/>
          <w:sz w:val="22"/>
          <w:szCs w:val="22"/>
        </w:rPr>
        <w:t> :</w:t>
      </w:r>
    </w:p>
    <w:p w14:paraId="03323D21" w14:textId="77777777" w:rsidR="0038417A" w:rsidRPr="0035122C" w:rsidRDefault="0038417A" w:rsidP="0038417A">
      <w:pPr>
        <w:ind w:left="993"/>
        <w:jc w:val="both"/>
        <w:rPr>
          <w:sz w:val="22"/>
          <w:szCs w:val="22"/>
        </w:rPr>
      </w:pPr>
      <w:r w:rsidRPr="0035122C">
        <w:rPr>
          <w:b/>
          <w:bCs/>
          <w:sz w:val="22"/>
          <w:szCs w:val="22"/>
        </w:rPr>
        <w:t>De se joindre</w:t>
      </w:r>
      <w:r w:rsidRPr="0035122C">
        <w:rPr>
          <w:sz w:val="22"/>
          <w:szCs w:val="22"/>
        </w:rPr>
        <w:t xml:space="preserve"> à la convention de participation dans le cadre de la protection sociale complémentaire, domaine de la prévoyance, que le Centre de gestion de la fonction publique territoriale de la Haute-Vienne entend conclure ;</w:t>
      </w:r>
    </w:p>
    <w:p w14:paraId="395FDAE7" w14:textId="77777777" w:rsidR="0038417A" w:rsidRPr="0035122C" w:rsidRDefault="0038417A" w:rsidP="0038417A">
      <w:pPr>
        <w:ind w:left="993"/>
        <w:jc w:val="both"/>
        <w:rPr>
          <w:sz w:val="22"/>
          <w:szCs w:val="22"/>
        </w:rPr>
      </w:pPr>
      <w:r w:rsidRPr="0035122C">
        <w:rPr>
          <w:b/>
          <w:bCs/>
          <w:sz w:val="22"/>
          <w:szCs w:val="22"/>
        </w:rPr>
        <w:t>De donner mandat</w:t>
      </w:r>
      <w:r w:rsidRPr="0035122C">
        <w:rPr>
          <w:sz w:val="22"/>
          <w:szCs w:val="22"/>
        </w:rPr>
        <w:t xml:space="preserve"> au Centre de gestion de la fonction publique territoriale de la Haute-Vienne pour lancer la consultation nécessaire à sa conclusion ;</w:t>
      </w:r>
    </w:p>
    <w:p w14:paraId="2D5DA770" w14:textId="77777777" w:rsidR="0038417A" w:rsidRPr="0035122C" w:rsidRDefault="0038417A" w:rsidP="0038417A">
      <w:pPr>
        <w:ind w:left="993"/>
        <w:jc w:val="both"/>
        <w:rPr>
          <w:sz w:val="22"/>
          <w:szCs w:val="22"/>
        </w:rPr>
      </w:pPr>
      <w:r w:rsidRPr="0035122C">
        <w:rPr>
          <w:b/>
          <w:bCs/>
          <w:sz w:val="22"/>
          <w:szCs w:val="22"/>
        </w:rPr>
        <w:t>De donner mandat</w:t>
      </w:r>
      <w:r w:rsidRPr="0035122C">
        <w:rPr>
          <w:sz w:val="22"/>
          <w:szCs w:val="22"/>
        </w:rPr>
        <w:t xml:space="preserve"> au Centre de gestion de la fonction publique territoriale de la Haute-Vienne pour négocier, pour son compte, un accord avec les organisations syndicales représentatives du périmètre du contrat ;</w:t>
      </w:r>
    </w:p>
    <w:p w14:paraId="7CED4428" w14:textId="77777777" w:rsidR="0038417A" w:rsidRPr="0035122C" w:rsidRDefault="0038417A" w:rsidP="0038417A">
      <w:pPr>
        <w:ind w:left="993"/>
        <w:jc w:val="both"/>
        <w:rPr>
          <w:sz w:val="22"/>
          <w:szCs w:val="22"/>
        </w:rPr>
      </w:pPr>
      <w:r w:rsidRPr="0035122C">
        <w:rPr>
          <w:b/>
          <w:bCs/>
          <w:sz w:val="22"/>
          <w:szCs w:val="22"/>
        </w:rPr>
        <w:t>De donner mandat</w:t>
      </w:r>
      <w:r w:rsidRPr="0035122C">
        <w:rPr>
          <w:sz w:val="22"/>
          <w:szCs w:val="22"/>
        </w:rPr>
        <w:t xml:space="preserve"> au Maire pour déterminer avec le Centre de gestion de la fonction publique territoriale de la Haute-Vienne les conditions de déroulement de la négociation et les modalités de conclusion de cet accord ainsi que pour approuver l’accord négocié ;</w:t>
      </w:r>
    </w:p>
    <w:p w14:paraId="355CB5E2" w14:textId="77777777" w:rsidR="0038417A" w:rsidRPr="0035122C" w:rsidRDefault="0038417A" w:rsidP="0038417A">
      <w:pPr>
        <w:ind w:left="993"/>
        <w:jc w:val="both"/>
        <w:rPr>
          <w:sz w:val="22"/>
          <w:szCs w:val="22"/>
        </w:rPr>
      </w:pPr>
      <w:r w:rsidRPr="0035122C">
        <w:rPr>
          <w:b/>
          <w:bCs/>
          <w:sz w:val="22"/>
          <w:szCs w:val="22"/>
        </w:rPr>
        <w:t>PREND ACTE</w:t>
      </w:r>
      <w:r w:rsidRPr="0035122C">
        <w:rPr>
          <w:sz w:val="22"/>
          <w:szCs w:val="22"/>
        </w:rPr>
        <w:t xml:space="preserve"> que les caractéristiques précises, prestataires, garanties et tarifs, lui seront communiqués au terme de la procédure engagée par Centre de gestion de la fonction publique territoriale de la Haute-Vienne pour lui permettre de décider de signer ou non la convention de participation souscrite.</w:t>
      </w:r>
    </w:p>
    <w:p w14:paraId="40BA629D" w14:textId="77777777" w:rsidR="0038417A" w:rsidRDefault="0038417A" w:rsidP="0038417A">
      <w:pPr>
        <w:pStyle w:val="Paragraphedeliste"/>
        <w:ind w:left="993"/>
        <w:jc w:val="both"/>
        <w:rPr>
          <w:rFonts w:eastAsia="Wingdings" w:cs="Wingdings"/>
          <w:sz w:val="22"/>
          <w:szCs w:val="22"/>
        </w:rPr>
      </w:pPr>
    </w:p>
    <w:p w14:paraId="33060AEC" w14:textId="08E211DD" w:rsidR="0038417A" w:rsidRDefault="001D5B03" w:rsidP="0038417A">
      <w:pPr>
        <w:ind w:left="993"/>
        <w:jc w:val="both"/>
        <w:rPr>
          <w:sz w:val="22"/>
          <w:szCs w:val="22"/>
        </w:rPr>
      </w:pPr>
      <w:r>
        <w:rPr>
          <w:sz w:val="22"/>
          <w:szCs w:val="22"/>
        </w:rPr>
        <w:t xml:space="preserve">Deli du    </w:t>
      </w:r>
    </w:p>
    <w:p w14:paraId="09DDCCD7" w14:textId="1CF9A817" w:rsidR="001D5B03" w:rsidRPr="00195098" w:rsidRDefault="0038417A" w:rsidP="001D5B03">
      <w:pPr>
        <w:ind w:left="993"/>
        <w:jc w:val="both"/>
        <w:rPr>
          <w:sz w:val="22"/>
          <w:szCs w:val="22"/>
        </w:rPr>
      </w:pPr>
      <w:r>
        <w:tab/>
      </w:r>
      <w:r>
        <w:tab/>
      </w:r>
      <w:r>
        <w:tab/>
      </w:r>
      <w:r>
        <w:tab/>
      </w:r>
      <w:r>
        <w:tab/>
      </w:r>
      <w:r>
        <w:tab/>
      </w:r>
      <w:r>
        <w:tab/>
      </w:r>
      <w:r>
        <w:tab/>
      </w:r>
      <w:r>
        <w:tab/>
      </w:r>
      <w:r>
        <w:tab/>
      </w:r>
      <w:r>
        <w:tab/>
      </w:r>
    </w:p>
    <w:p w14:paraId="16FCC287" w14:textId="77777777" w:rsidR="0038417A" w:rsidRPr="00195098" w:rsidRDefault="0038417A" w:rsidP="0038417A">
      <w:pPr>
        <w:ind w:left="993"/>
        <w:jc w:val="right"/>
        <w:rPr>
          <w:sz w:val="22"/>
          <w:szCs w:val="22"/>
        </w:rPr>
      </w:pPr>
    </w:p>
    <w:p w14:paraId="79BF7B06" w14:textId="77777777" w:rsidR="0038417A" w:rsidRDefault="0038417A" w:rsidP="0038417A">
      <w:pPr>
        <w:jc w:val="center"/>
        <w:rPr>
          <w:sz w:val="22"/>
          <w:szCs w:val="22"/>
        </w:rPr>
      </w:pPr>
      <w:r>
        <w:rPr>
          <w:sz w:val="22"/>
          <w:szCs w:val="22"/>
        </w:rPr>
        <w:t>-----------------------------</w:t>
      </w:r>
    </w:p>
    <w:p w14:paraId="41DF880C" w14:textId="77777777" w:rsidR="0038417A" w:rsidRDefault="0038417A" w:rsidP="0038417A">
      <w:pPr>
        <w:jc w:val="both"/>
        <w:rPr>
          <w:sz w:val="22"/>
          <w:szCs w:val="22"/>
        </w:rPr>
      </w:pPr>
    </w:p>
    <w:p w14:paraId="3772F95F" w14:textId="77777777" w:rsidR="0038417A" w:rsidRPr="0035122C" w:rsidRDefault="0038417A" w:rsidP="0038417A">
      <w:pPr>
        <w:pStyle w:val="Paragraphedeliste"/>
        <w:numPr>
          <w:ilvl w:val="0"/>
          <w:numId w:val="8"/>
        </w:numPr>
        <w:jc w:val="both"/>
        <w:textAlignment w:val="baseline"/>
        <w:rPr>
          <w:rFonts w:eastAsia="Wingdings" w:cs="Wingdings"/>
          <w:sz w:val="28"/>
          <w:szCs w:val="28"/>
        </w:rPr>
      </w:pPr>
      <w:r w:rsidRPr="0035122C">
        <w:rPr>
          <w:rFonts w:eastAsia="Wingdings" w:cs="Wingdings"/>
          <w:sz w:val="28"/>
          <w:szCs w:val="28"/>
        </w:rPr>
        <w:t>Environnement / Zones d’Accélération des Energies Renouvelables</w:t>
      </w:r>
    </w:p>
    <w:p w14:paraId="50D57027" w14:textId="77777777" w:rsidR="0038417A" w:rsidRDefault="0038417A" w:rsidP="0038417A">
      <w:pPr>
        <w:jc w:val="both"/>
        <w:rPr>
          <w:sz w:val="22"/>
          <w:szCs w:val="22"/>
        </w:rPr>
      </w:pPr>
    </w:p>
    <w:p w14:paraId="019415D7" w14:textId="0576C9F1" w:rsidR="001D5B03" w:rsidRPr="001D5B03" w:rsidRDefault="001D5B03" w:rsidP="001D5B03">
      <w:pPr>
        <w:ind w:left="633"/>
        <w:jc w:val="both"/>
        <w:rPr>
          <w:b/>
          <w:bCs/>
          <w:sz w:val="22"/>
          <w:szCs w:val="22"/>
        </w:rPr>
      </w:pPr>
      <w:r>
        <w:rPr>
          <w:b/>
          <w:bCs/>
          <w:sz w:val="22"/>
          <w:szCs w:val="22"/>
        </w:rPr>
        <w:t>Délibération n° 2024/02</w:t>
      </w:r>
    </w:p>
    <w:p w14:paraId="62A5D015" w14:textId="77777777" w:rsidR="001D5B03" w:rsidRDefault="001D5B03" w:rsidP="001D5B03">
      <w:pPr>
        <w:ind w:left="633"/>
        <w:jc w:val="both"/>
        <w:rPr>
          <w:sz w:val="22"/>
          <w:szCs w:val="22"/>
        </w:rPr>
      </w:pPr>
    </w:p>
    <w:p w14:paraId="273C5C50" w14:textId="77777777" w:rsidR="0038417A" w:rsidRDefault="0038417A" w:rsidP="0038417A">
      <w:pPr>
        <w:pStyle w:val="Paragraphedeliste"/>
        <w:numPr>
          <w:ilvl w:val="0"/>
          <w:numId w:val="2"/>
        </w:numPr>
        <w:ind w:left="993"/>
        <w:jc w:val="both"/>
        <w:textAlignment w:val="baseline"/>
        <w:rPr>
          <w:rFonts w:eastAsia="Wingdings" w:cs="Wingdings"/>
          <w:sz w:val="22"/>
          <w:szCs w:val="22"/>
        </w:rPr>
      </w:pPr>
      <w:r>
        <w:rPr>
          <w:rFonts w:eastAsia="Wingdings" w:cs="Wingdings"/>
          <w:sz w:val="22"/>
          <w:szCs w:val="22"/>
        </w:rPr>
        <w:t>Le Maire,</w:t>
      </w:r>
    </w:p>
    <w:p w14:paraId="51AE423A" w14:textId="77777777" w:rsidR="0038417A" w:rsidRDefault="0038417A" w:rsidP="0038417A">
      <w:pPr>
        <w:ind w:left="993"/>
        <w:jc w:val="both"/>
        <w:rPr>
          <w:sz w:val="22"/>
          <w:szCs w:val="22"/>
        </w:rPr>
      </w:pPr>
    </w:p>
    <w:p w14:paraId="252F8AC1" w14:textId="77777777" w:rsidR="0038417A" w:rsidRDefault="0038417A" w:rsidP="0038417A">
      <w:pPr>
        <w:ind w:left="993"/>
        <w:jc w:val="both"/>
        <w:rPr>
          <w:sz w:val="22"/>
          <w:szCs w:val="22"/>
        </w:rPr>
      </w:pPr>
      <w:r>
        <w:rPr>
          <w:sz w:val="22"/>
          <w:szCs w:val="22"/>
        </w:rPr>
        <w:t>La loi d’accélération de la production d’énergies renouvelables, adoptée par le Parlement et promulgué le 10 mars 2023, s’inscrit dans une démarche nationale plus globale qui vise à :</w:t>
      </w:r>
    </w:p>
    <w:p w14:paraId="2BEAE63B" w14:textId="77777777" w:rsidR="0038417A" w:rsidRDefault="0038417A" w:rsidP="0038417A">
      <w:pPr>
        <w:pStyle w:val="Paragraphedeliste"/>
        <w:numPr>
          <w:ilvl w:val="0"/>
          <w:numId w:val="3"/>
        </w:numPr>
        <w:ind w:left="993"/>
        <w:jc w:val="both"/>
        <w:textAlignment w:val="baseline"/>
        <w:rPr>
          <w:sz w:val="22"/>
          <w:szCs w:val="22"/>
        </w:rPr>
      </w:pPr>
      <w:proofErr w:type="gramStart"/>
      <w:r>
        <w:rPr>
          <w:sz w:val="22"/>
          <w:szCs w:val="22"/>
        </w:rPr>
        <w:t>atteindre</w:t>
      </w:r>
      <w:proofErr w:type="gramEnd"/>
      <w:r>
        <w:rPr>
          <w:sz w:val="22"/>
          <w:szCs w:val="22"/>
        </w:rPr>
        <w:t xml:space="preserve"> l’objectif de neutralité carbone en 2050,</w:t>
      </w:r>
    </w:p>
    <w:p w14:paraId="6D8F3049" w14:textId="77777777" w:rsidR="0038417A" w:rsidRDefault="0038417A" w:rsidP="0038417A">
      <w:pPr>
        <w:pStyle w:val="Paragraphedeliste"/>
        <w:numPr>
          <w:ilvl w:val="0"/>
          <w:numId w:val="3"/>
        </w:numPr>
        <w:ind w:left="993"/>
        <w:jc w:val="both"/>
        <w:textAlignment w:val="baseline"/>
        <w:rPr>
          <w:sz w:val="22"/>
          <w:szCs w:val="22"/>
        </w:rPr>
      </w:pPr>
      <w:proofErr w:type="gramStart"/>
      <w:r>
        <w:rPr>
          <w:sz w:val="22"/>
          <w:szCs w:val="22"/>
        </w:rPr>
        <w:t>porter</w:t>
      </w:r>
      <w:proofErr w:type="gramEnd"/>
      <w:r>
        <w:rPr>
          <w:sz w:val="22"/>
          <w:szCs w:val="22"/>
        </w:rPr>
        <w:t xml:space="preserve"> à au moins 33 % la part des énergies renouvelables dans la consommation finale d’ici 2030, </w:t>
      </w:r>
    </w:p>
    <w:p w14:paraId="293C4BF8" w14:textId="77777777" w:rsidR="0038417A" w:rsidRDefault="0038417A" w:rsidP="0038417A">
      <w:pPr>
        <w:pStyle w:val="Paragraphedeliste"/>
        <w:numPr>
          <w:ilvl w:val="0"/>
          <w:numId w:val="3"/>
        </w:numPr>
        <w:ind w:left="993"/>
        <w:jc w:val="both"/>
        <w:textAlignment w:val="baseline"/>
        <w:rPr>
          <w:sz w:val="22"/>
          <w:szCs w:val="22"/>
        </w:rPr>
      </w:pPr>
      <w:proofErr w:type="gramStart"/>
      <w:r>
        <w:rPr>
          <w:sz w:val="22"/>
          <w:szCs w:val="22"/>
        </w:rPr>
        <w:t>accroître</w:t>
      </w:r>
      <w:proofErr w:type="gramEnd"/>
      <w:r>
        <w:rPr>
          <w:sz w:val="22"/>
          <w:szCs w:val="22"/>
        </w:rPr>
        <w:t xml:space="preserve"> l’indépendance énergétique via le développement des énergies renouvelables.</w:t>
      </w:r>
    </w:p>
    <w:p w14:paraId="093B2EDB" w14:textId="77777777" w:rsidR="0038417A" w:rsidRDefault="0038417A" w:rsidP="0038417A">
      <w:pPr>
        <w:ind w:left="993"/>
        <w:jc w:val="both"/>
        <w:rPr>
          <w:sz w:val="22"/>
          <w:szCs w:val="22"/>
        </w:rPr>
      </w:pPr>
    </w:p>
    <w:p w14:paraId="3E813F28" w14:textId="77777777" w:rsidR="0038417A" w:rsidRPr="00F9662F" w:rsidRDefault="0038417A" w:rsidP="0038417A">
      <w:pPr>
        <w:ind w:left="993"/>
        <w:jc w:val="both"/>
        <w:rPr>
          <w:sz w:val="22"/>
          <w:szCs w:val="22"/>
        </w:rPr>
      </w:pPr>
      <w:r>
        <w:rPr>
          <w:sz w:val="22"/>
          <w:szCs w:val="22"/>
        </w:rPr>
        <w:t xml:space="preserve">La loi d’accélération de la production d’énergies renouvelables fait de la </w:t>
      </w:r>
      <w:r w:rsidRPr="00F9662F">
        <w:rPr>
          <w:b/>
          <w:bCs/>
          <w:sz w:val="22"/>
          <w:szCs w:val="22"/>
        </w:rPr>
        <w:t>planification territoriale</w:t>
      </w:r>
      <w:r>
        <w:rPr>
          <w:sz w:val="22"/>
          <w:szCs w:val="22"/>
        </w:rPr>
        <w:t xml:space="preserve"> une priorité. </w:t>
      </w:r>
      <w:r w:rsidRPr="001F2D33">
        <w:rPr>
          <w:b/>
          <w:bCs/>
          <w:sz w:val="22"/>
          <w:szCs w:val="22"/>
        </w:rPr>
        <w:t>Elle prévoit notamment que les communes puissent définir</w:t>
      </w:r>
      <w:r>
        <w:rPr>
          <w:sz w:val="22"/>
          <w:szCs w:val="22"/>
        </w:rPr>
        <w:t>, après concertation des habitants, des zones d’accélération favorables à l’accueil de projets d’énergies renouvelables.</w:t>
      </w:r>
    </w:p>
    <w:p w14:paraId="7F60B2D3" w14:textId="77777777" w:rsidR="0038417A" w:rsidRDefault="0038417A" w:rsidP="0038417A">
      <w:pPr>
        <w:ind w:left="993"/>
        <w:jc w:val="both"/>
        <w:rPr>
          <w:sz w:val="22"/>
          <w:szCs w:val="22"/>
        </w:rPr>
      </w:pPr>
    </w:p>
    <w:p w14:paraId="3BB94BED" w14:textId="77777777" w:rsidR="0038417A" w:rsidRDefault="0038417A" w:rsidP="0038417A">
      <w:pPr>
        <w:ind w:left="993"/>
        <w:jc w:val="both"/>
        <w:rPr>
          <w:sz w:val="22"/>
          <w:szCs w:val="22"/>
        </w:rPr>
      </w:pPr>
      <w:r>
        <w:rPr>
          <w:sz w:val="22"/>
          <w:szCs w:val="22"/>
        </w:rPr>
        <w:t>Ces zones ont pour objectifs de :</w:t>
      </w:r>
    </w:p>
    <w:p w14:paraId="4EA2A5ED" w14:textId="77777777" w:rsidR="0038417A" w:rsidRDefault="0038417A" w:rsidP="0038417A">
      <w:pPr>
        <w:ind w:left="993"/>
        <w:jc w:val="both"/>
        <w:rPr>
          <w:sz w:val="22"/>
          <w:szCs w:val="22"/>
        </w:rPr>
      </w:pPr>
    </w:p>
    <w:p w14:paraId="50C46557" w14:textId="77777777" w:rsidR="0038417A" w:rsidRDefault="0038417A" w:rsidP="0038417A">
      <w:pPr>
        <w:pStyle w:val="Paragraphedeliste"/>
        <w:numPr>
          <w:ilvl w:val="0"/>
          <w:numId w:val="3"/>
        </w:numPr>
        <w:ind w:left="993"/>
        <w:jc w:val="both"/>
        <w:textAlignment w:val="baseline"/>
        <w:rPr>
          <w:sz w:val="22"/>
          <w:szCs w:val="22"/>
        </w:rPr>
      </w:pPr>
      <w:proofErr w:type="gramStart"/>
      <w:r>
        <w:rPr>
          <w:sz w:val="22"/>
          <w:szCs w:val="22"/>
        </w:rPr>
        <w:t>mettre</w:t>
      </w:r>
      <w:proofErr w:type="gramEnd"/>
      <w:r>
        <w:rPr>
          <w:sz w:val="22"/>
          <w:szCs w:val="22"/>
        </w:rPr>
        <w:t xml:space="preserve"> en valeur le potentiel de la commune</w:t>
      </w:r>
    </w:p>
    <w:p w14:paraId="19709832" w14:textId="77777777" w:rsidR="0038417A" w:rsidRDefault="0038417A" w:rsidP="0038417A">
      <w:pPr>
        <w:pStyle w:val="Paragraphedeliste"/>
        <w:numPr>
          <w:ilvl w:val="0"/>
          <w:numId w:val="3"/>
        </w:numPr>
        <w:ind w:left="993"/>
        <w:jc w:val="both"/>
        <w:textAlignment w:val="baseline"/>
        <w:rPr>
          <w:sz w:val="22"/>
          <w:szCs w:val="22"/>
        </w:rPr>
      </w:pPr>
      <w:proofErr w:type="gramStart"/>
      <w:r>
        <w:rPr>
          <w:sz w:val="22"/>
          <w:szCs w:val="22"/>
        </w:rPr>
        <w:t>contribuer</w:t>
      </w:r>
      <w:proofErr w:type="gramEnd"/>
      <w:r>
        <w:rPr>
          <w:sz w:val="22"/>
          <w:szCs w:val="22"/>
        </w:rPr>
        <w:t xml:space="preserve"> à la solidarité ente les territoires</w:t>
      </w:r>
    </w:p>
    <w:p w14:paraId="0F8B649F" w14:textId="77777777" w:rsidR="0038417A" w:rsidRDefault="0038417A" w:rsidP="0038417A">
      <w:pPr>
        <w:pStyle w:val="Paragraphedeliste"/>
        <w:numPr>
          <w:ilvl w:val="0"/>
          <w:numId w:val="3"/>
        </w:numPr>
        <w:ind w:left="993"/>
        <w:jc w:val="both"/>
        <w:textAlignment w:val="baseline"/>
        <w:rPr>
          <w:sz w:val="22"/>
          <w:szCs w:val="22"/>
        </w:rPr>
      </w:pPr>
      <w:proofErr w:type="gramStart"/>
      <w:r>
        <w:rPr>
          <w:sz w:val="22"/>
          <w:szCs w:val="22"/>
        </w:rPr>
        <w:t>sécuriser</w:t>
      </w:r>
      <w:proofErr w:type="gramEnd"/>
      <w:r>
        <w:rPr>
          <w:sz w:val="22"/>
          <w:szCs w:val="22"/>
        </w:rPr>
        <w:t xml:space="preserve"> l’approvisionnement</w:t>
      </w:r>
    </w:p>
    <w:p w14:paraId="719FF2E9" w14:textId="77777777" w:rsidR="0038417A" w:rsidRDefault="0038417A" w:rsidP="0038417A">
      <w:pPr>
        <w:pStyle w:val="Paragraphedeliste"/>
        <w:numPr>
          <w:ilvl w:val="0"/>
          <w:numId w:val="3"/>
        </w:numPr>
        <w:ind w:left="993"/>
        <w:jc w:val="both"/>
        <w:textAlignment w:val="baseline"/>
        <w:rPr>
          <w:sz w:val="22"/>
          <w:szCs w:val="22"/>
        </w:rPr>
      </w:pPr>
      <w:proofErr w:type="gramStart"/>
      <w:r>
        <w:rPr>
          <w:sz w:val="22"/>
          <w:szCs w:val="22"/>
        </w:rPr>
        <w:t>favoriser</w:t>
      </w:r>
      <w:proofErr w:type="gramEnd"/>
      <w:r>
        <w:rPr>
          <w:sz w:val="22"/>
          <w:szCs w:val="22"/>
        </w:rPr>
        <w:t xml:space="preserve"> l’approbation locale des projets</w:t>
      </w:r>
    </w:p>
    <w:p w14:paraId="2036DBF8" w14:textId="77777777" w:rsidR="0038417A" w:rsidRDefault="0038417A" w:rsidP="0038417A">
      <w:pPr>
        <w:ind w:left="993"/>
        <w:jc w:val="both"/>
        <w:rPr>
          <w:sz w:val="22"/>
          <w:szCs w:val="22"/>
        </w:rPr>
      </w:pPr>
    </w:p>
    <w:p w14:paraId="73A16E5D" w14:textId="77777777" w:rsidR="0038417A" w:rsidRDefault="0038417A" w:rsidP="0038417A">
      <w:pPr>
        <w:pStyle w:val="Paragraphedeliste"/>
        <w:numPr>
          <w:ilvl w:val="0"/>
          <w:numId w:val="12"/>
        </w:numPr>
        <w:ind w:left="851"/>
        <w:jc w:val="both"/>
        <w:rPr>
          <w:sz w:val="22"/>
          <w:szCs w:val="22"/>
        </w:rPr>
      </w:pPr>
      <w:r>
        <w:rPr>
          <w:sz w:val="22"/>
          <w:szCs w:val="22"/>
        </w:rPr>
        <w:t>Un document représentant la cartographie pouvant être retenue sur le territoire pour chacune des catégories de ressource est à disposition des conseillers municipaux ainsi qu’une note de synthèse.</w:t>
      </w:r>
    </w:p>
    <w:p w14:paraId="1313EB9C" w14:textId="77777777" w:rsidR="0038417A" w:rsidRPr="000B1CF1" w:rsidRDefault="0038417A" w:rsidP="0038417A">
      <w:pPr>
        <w:pStyle w:val="Paragraphedeliste"/>
        <w:ind w:left="851"/>
        <w:jc w:val="both"/>
        <w:rPr>
          <w:sz w:val="22"/>
          <w:szCs w:val="22"/>
        </w:rPr>
      </w:pPr>
    </w:p>
    <w:p w14:paraId="7E428307" w14:textId="77777777" w:rsidR="0038417A" w:rsidRDefault="0038417A" w:rsidP="0038417A">
      <w:pPr>
        <w:ind w:left="993"/>
        <w:jc w:val="both"/>
        <w:rPr>
          <w:sz w:val="22"/>
          <w:szCs w:val="22"/>
        </w:rPr>
      </w:pPr>
    </w:p>
    <w:p w14:paraId="77B7F3BB" w14:textId="77777777" w:rsidR="001D5B03" w:rsidRDefault="001D5B03" w:rsidP="0038417A">
      <w:pPr>
        <w:ind w:left="993"/>
        <w:jc w:val="both"/>
        <w:rPr>
          <w:sz w:val="22"/>
          <w:szCs w:val="22"/>
        </w:rPr>
      </w:pPr>
    </w:p>
    <w:p w14:paraId="29CEF39B" w14:textId="77777777" w:rsidR="001D5B03" w:rsidRDefault="001D5B03" w:rsidP="0038417A">
      <w:pPr>
        <w:ind w:left="993"/>
        <w:jc w:val="both"/>
        <w:rPr>
          <w:sz w:val="22"/>
          <w:szCs w:val="22"/>
        </w:rPr>
      </w:pPr>
    </w:p>
    <w:p w14:paraId="58A9AF0F" w14:textId="757CC667" w:rsidR="0038417A" w:rsidRPr="0035122C" w:rsidRDefault="001D5B03" w:rsidP="001D5B03">
      <w:pPr>
        <w:ind w:left="993"/>
        <w:jc w:val="both"/>
        <w:rPr>
          <w:sz w:val="22"/>
          <w:szCs w:val="22"/>
        </w:rPr>
      </w:pPr>
      <w:r>
        <w:lastRenderedPageBreak/>
        <w:tab/>
      </w:r>
      <w:r>
        <w:tab/>
      </w:r>
      <w:r>
        <w:tab/>
      </w:r>
      <w:r>
        <w:tab/>
      </w:r>
      <w:r>
        <w:tab/>
      </w:r>
      <w:r>
        <w:tab/>
      </w:r>
      <w:r>
        <w:tab/>
      </w:r>
      <w:r>
        <w:tab/>
      </w:r>
      <w:r>
        <w:tab/>
      </w:r>
      <w:r>
        <w:tab/>
      </w:r>
      <w:r>
        <w:tab/>
      </w:r>
      <w:r w:rsidR="0038417A" w:rsidRPr="0035122C">
        <w:rPr>
          <w:sz w:val="22"/>
          <w:szCs w:val="22"/>
        </w:rPr>
        <w:t>Le Conseil municipal :</w:t>
      </w:r>
    </w:p>
    <w:p w14:paraId="00ADB4AF" w14:textId="77777777" w:rsidR="0038417A" w:rsidRDefault="0038417A" w:rsidP="0038417A">
      <w:pPr>
        <w:pStyle w:val="Paragraphedeliste"/>
        <w:ind w:left="993"/>
        <w:jc w:val="both"/>
        <w:textAlignment w:val="baseline"/>
        <w:rPr>
          <w:b/>
          <w:bCs/>
          <w:sz w:val="22"/>
          <w:szCs w:val="22"/>
        </w:rPr>
      </w:pPr>
    </w:p>
    <w:p w14:paraId="22F95612" w14:textId="77777777" w:rsidR="0038417A" w:rsidRDefault="0038417A" w:rsidP="0038417A">
      <w:pPr>
        <w:pStyle w:val="Paragraphedeliste"/>
        <w:numPr>
          <w:ilvl w:val="0"/>
          <w:numId w:val="7"/>
        </w:numPr>
        <w:ind w:left="993"/>
        <w:jc w:val="both"/>
        <w:textAlignment w:val="baseline"/>
        <w:rPr>
          <w:b/>
          <w:bCs/>
          <w:sz w:val="22"/>
          <w:szCs w:val="22"/>
        </w:rPr>
      </w:pPr>
      <w:proofErr w:type="gramStart"/>
      <w:r w:rsidRPr="003958B6">
        <w:rPr>
          <w:b/>
          <w:bCs/>
          <w:sz w:val="22"/>
          <w:szCs w:val="22"/>
        </w:rPr>
        <w:t>doit</w:t>
      </w:r>
      <w:proofErr w:type="gramEnd"/>
      <w:r w:rsidRPr="003958B6">
        <w:rPr>
          <w:b/>
          <w:bCs/>
          <w:sz w:val="22"/>
          <w:szCs w:val="22"/>
        </w:rPr>
        <w:t xml:space="preserve"> identifier les zones pour le développement des énergies renouvelables :</w:t>
      </w:r>
    </w:p>
    <w:p w14:paraId="5267C8BB" w14:textId="77777777" w:rsidR="0038417A" w:rsidRPr="003958B6" w:rsidRDefault="0038417A" w:rsidP="0038417A">
      <w:pPr>
        <w:pStyle w:val="Paragraphedeliste"/>
        <w:ind w:left="993"/>
        <w:jc w:val="both"/>
        <w:rPr>
          <w:b/>
          <w:bCs/>
          <w:sz w:val="22"/>
          <w:szCs w:val="22"/>
        </w:rPr>
      </w:pPr>
    </w:p>
    <w:p w14:paraId="728C8B41" w14:textId="77777777" w:rsidR="0038417A" w:rsidRDefault="0038417A" w:rsidP="0038417A">
      <w:pPr>
        <w:pStyle w:val="Paragraphedeliste"/>
        <w:numPr>
          <w:ilvl w:val="0"/>
          <w:numId w:val="5"/>
        </w:numPr>
        <w:ind w:left="993"/>
        <w:jc w:val="both"/>
        <w:textAlignment w:val="baseline"/>
        <w:rPr>
          <w:sz w:val="22"/>
          <w:szCs w:val="22"/>
        </w:rPr>
      </w:pPr>
      <w:proofErr w:type="gramStart"/>
      <w:r>
        <w:rPr>
          <w:sz w:val="22"/>
          <w:szCs w:val="22"/>
        </w:rPr>
        <w:t>pour</w:t>
      </w:r>
      <w:proofErr w:type="gramEnd"/>
      <w:r>
        <w:rPr>
          <w:sz w:val="22"/>
          <w:szCs w:val="22"/>
        </w:rPr>
        <w:t xml:space="preserve"> chaque catégorie de ressource :</w:t>
      </w:r>
    </w:p>
    <w:p w14:paraId="14C7328E" w14:textId="77777777" w:rsidR="0038417A" w:rsidRDefault="0038417A" w:rsidP="0038417A">
      <w:pPr>
        <w:pStyle w:val="Paragraphedeliste"/>
        <w:numPr>
          <w:ilvl w:val="0"/>
          <w:numId w:val="3"/>
        </w:numPr>
        <w:ind w:left="993" w:firstLine="65"/>
        <w:jc w:val="both"/>
        <w:textAlignment w:val="baseline"/>
        <w:rPr>
          <w:sz w:val="22"/>
          <w:szCs w:val="22"/>
        </w:rPr>
      </w:pPr>
      <w:r>
        <w:rPr>
          <w:sz w:val="22"/>
          <w:szCs w:val="22"/>
        </w:rPr>
        <w:t xml:space="preserve">Solaire, </w:t>
      </w:r>
    </w:p>
    <w:p w14:paraId="38EB2177" w14:textId="77777777" w:rsidR="0038417A" w:rsidRDefault="0038417A" w:rsidP="0038417A">
      <w:pPr>
        <w:pStyle w:val="Paragraphedeliste"/>
        <w:numPr>
          <w:ilvl w:val="0"/>
          <w:numId w:val="3"/>
        </w:numPr>
        <w:ind w:left="993" w:firstLine="65"/>
        <w:jc w:val="both"/>
        <w:textAlignment w:val="baseline"/>
        <w:rPr>
          <w:sz w:val="22"/>
          <w:szCs w:val="22"/>
        </w:rPr>
      </w:pPr>
      <w:r>
        <w:rPr>
          <w:sz w:val="22"/>
          <w:szCs w:val="22"/>
        </w:rPr>
        <w:t>Eolien,</w:t>
      </w:r>
    </w:p>
    <w:p w14:paraId="2F6FAEB1" w14:textId="77777777" w:rsidR="0038417A" w:rsidRDefault="0038417A" w:rsidP="0038417A">
      <w:pPr>
        <w:pStyle w:val="Paragraphedeliste"/>
        <w:numPr>
          <w:ilvl w:val="0"/>
          <w:numId w:val="3"/>
        </w:numPr>
        <w:ind w:left="993" w:firstLine="65"/>
        <w:jc w:val="both"/>
        <w:textAlignment w:val="baseline"/>
        <w:rPr>
          <w:sz w:val="22"/>
          <w:szCs w:val="22"/>
        </w:rPr>
      </w:pPr>
      <w:r>
        <w:rPr>
          <w:sz w:val="22"/>
          <w:szCs w:val="22"/>
        </w:rPr>
        <w:t>Hydroélectricité</w:t>
      </w:r>
    </w:p>
    <w:p w14:paraId="6A8D9BAF" w14:textId="77777777" w:rsidR="0038417A" w:rsidRDefault="0038417A" w:rsidP="0038417A">
      <w:pPr>
        <w:pStyle w:val="Paragraphedeliste"/>
        <w:numPr>
          <w:ilvl w:val="0"/>
          <w:numId w:val="3"/>
        </w:numPr>
        <w:ind w:left="993" w:firstLine="65"/>
        <w:jc w:val="both"/>
        <w:textAlignment w:val="baseline"/>
        <w:rPr>
          <w:sz w:val="22"/>
          <w:szCs w:val="22"/>
        </w:rPr>
      </w:pPr>
      <w:r>
        <w:rPr>
          <w:sz w:val="22"/>
          <w:szCs w:val="22"/>
        </w:rPr>
        <w:t>Bois énergie</w:t>
      </w:r>
    </w:p>
    <w:p w14:paraId="559A6B2E" w14:textId="77777777" w:rsidR="0038417A" w:rsidRDefault="0038417A" w:rsidP="0038417A">
      <w:pPr>
        <w:pStyle w:val="Paragraphedeliste"/>
        <w:numPr>
          <w:ilvl w:val="0"/>
          <w:numId w:val="3"/>
        </w:numPr>
        <w:ind w:left="993" w:firstLine="65"/>
        <w:jc w:val="both"/>
        <w:textAlignment w:val="baseline"/>
        <w:rPr>
          <w:sz w:val="22"/>
          <w:szCs w:val="22"/>
        </w:rPr>
      </w:pPr>
      <w:r>
        <w:rPr>
          <w:sz w:val="22"/>
          <w:szCs w:val="22"/>
        </w:rPr>
        <w:t>Géothermie</w:t>
      </w:r>
    </w:p>
    <w:p w14:paraId="200E9F0D" w14:textId="77777777" w:rsidR="0038417A" w:rsidRDefault="0038417A" w:rsidP="0038417A">
      <w:pPr>
        <w:pStyle w:val="Paragraphedeliste"/>
        <w:numPr>
          <w:ilvl w:val="0"/>
          <w:numId w:val="3"/>
        </w:numPr>
        <w:ind w:left="993" w:firstLine="65"/>
        <w:jc w:val="both"/>
        <w:textAlignment w:val="baseline"/>
        <w:rPr>
          <w:sz w:val="22"/>
          <w:szCs w:val="22"/>
        </w:rPr>
      </w:pPr>
      <w:r>
        <w:rPr>
          <w:sz w:val="22"/>
          <w:szCs w:val="22"/>
        </w:rPr>
        <w:t>Méthanisation</w:t>
      </w:r>
    </w:p>
    <w:p w14:paraId="36529F65" w14:textId="77777777" w:rsidR="0038417A" w:rsidRDefault="0038417A" w:rsidP="0038417A">
      <w:pPr>
        <w:pStyle w:val="Paragraphedeliste"/>
        <w:ind w:left="993"/>
        <w:jc w:val="both"/>
        <w:rPr>
          <w:sz w:val="22"/>
          <w:szCs w:val="22"/>
        </w:rPr>
      </w:pPr>
    </w:p>
    <w:p w14:paraId="1AB9BB7D" w14:textId="77777777" w:rsidR="0038417A" w:rsidRDefault="0038417A" w:rsidP="0038417A">
      <w:pPr>
        <w:pStyle w:val="Paragraphedeliste"/>
        <w:numPr>
          <w:ilvl w:val="0"/>
          <w:numId w:val="5"/>
        </w:numPr>
        <w:ind w:left="993"/>
        <w:jc w:val="both"/>
        <w:textAlignment w:val="baseline"/>
        <w:rPr>
          <w:sz w:val="22"/>
          <w:szCs w:val="22"/>
        </w:rPr>
      </w:pPr>
      <w:proofErr w:type="gramStart"/>
      <w:r>
        <w:rPr>
          <w:sz w:val="22"/>
          <w:szCs w:val="22"/>
        </w:rPr>
        <w:t>pour</w:t>
      </w:r>
      <w:proofErr w:type="gramEnd"/>
      <w:r>
        <w:rPr>
          <w:sz w:val="22"/>
          <w:szCs w:val="22"/>
        </w:rPr>
        <w:t xml:space="preserve"> chaque type d’installation :</w:t>
      </w:r>
    </w:p>
    <w:p w14:paraId="625A5D0F" w14:textId="77777777" w:rsidR="0038417A" w:rsidRDefault="0038417A" w:rsidP="0038417A">
      <w:pPr>
        <w:pStyle w:val="Paragraphedeliste"/>
        <w:numPr>
          <w:ilvl w:val="0"/>
          <w:numId w:val="3"/>
        </w:numPr>
        <w:ind w:left="993"/>
        <w:jc w:val="both"/>
        <w:textAlignment w:val="baseline"/>
        <w:rPr>
          <w:sz w:val="22"/>
          <w:szCs w:val="22"/>
        </w:rPr>
      </w:pPr>
      <w:r>
        <w:rPr>
          <w:sz w:val="22"/>
          <w:szCs w:val="22"/>
        </w:rPr>
        <w:t>Photovoltaïque ou panneaux solaires en toiture</w:t>
      </w:r>
    </w:p>
    <w:p w14:paraId="3FB1008F" w14:textId="77777777" w:rsidR="0038417A" w:rsidRDefault="0038417A" w:rsidP="0038417A">
      <w:pPr>
        <w:pStyle w:val="Paragraphedeliste"/>
        <w:numPr>
          <w:ilvl w:val="0"/>
          <w:numId w:val="3"/>
        </w:numPr>
        <w:ind w:left="993"/>
        <w:jc w:val="both"/>
        <w:textAlignment w:val="baseline"/>
        <w:rPr>
          <w:sz w:val="22"/>
          <w:szCs w:val="22"/>
        </w:rPr>
      </w:pPr>
      <w:r>
        <w:rPr>
          <w:sz w:val="22"/>
          <w:szCs w:val="22"/>
        </w:rPr>
        <w:t>Photovoltaïque au sol</w:t>
      </w:r>
    </w:p>
    <w:p w14:paraId="046F4E50" w14:textId="77777777" w:rsidR="0038417A" w:rsidRDefault="0038417A" w:rsidP="0038417A">
      <w:pPr>
        <w:pStyle w:val="Paragraphedeliste"/>
        <w:numPr>
          <w:ilvl w:val="0"/>
          <w:numId w:val="3"/>
        </w:numPr>
        <w:ind w:left="993"/>
        <w:jc w:val="both"/>
        <w:textAlignment w:val="baseline"/>
        <w:rPr>
          <w:sz w:val="22"/>
          <w:szCs w:val="22"/>
        </w:rPr>
      </w:pPr>
      <w:r>
        <w:rPr>
          <w:sz w:val="22"/>
          <w:szCs w:val="22"/>
        </w:rPr>
        <w:t>Réseaux de chaleur</w:t>
      </w:r>
    </w:p>
    <w:p w14:paraId="3D1BF6CE" w14:textId="77777777" w:rsidR="0038417A" w:rsidRDefault="0038417A" w:rsidP="0038417A">
      <w:pPr>
        <w:pStyle w:val="Paragraphedeliste"/>
        <w:numPr>
          <w:ilvl w:val="0"/>
          <w:numId w:val="3"/>
        </w:numPr>
        <w:ind w:left="993"/>
        <w:jc w:val="both"/>
        <w:textAlignment w:val="baseline"/>
        <w:rPr>
          <w:sz w:val="22"/>
          <w:szCs w:val="22"/>
        </w:rPr>
      </w:pPr>
      <w:r>
        <w:rPr>
          <w:sz w:val="22"/>
          <w:szCs w:val="22"/>
        </w:rPr>
        <w:t>Injection dans les réseaux gaz et électricité existants</w:t>
      </w:r>
    </w:p>
    <w:p w14:paraId="74D808F6" w14:textId="77777777" w:rsidR="0038417A" w:rsidRDefault="0038417A" w:rsidP="0038417A">
      <w:pPr>
        <w:jc w:val="both"/>
        <w:rPr>
          <w:sz w:val="22"/>
          <w:szCs w:val="22"/>
        </w:rPr>
      </w:pPr>
    </w:p>
    <w:p w14:paraId="1EDCB430" w14:textId="77777777" w:rsidR="0038417A" w:rsidRDefault="0038417A" w:rsidP="0038417A">
      <w:pPr>
        <w:ind w:left="993"/>
        <w:jc w:val="both"/>
        <w:rPr>
          <w:sz w:val="22"/>
          <w:szCs w:val="22"/>
        </w:rPr>
      </w:pPr>
    </w:p>
    <w:p w14:paraId="13F961CB" w14:textId="77777777" w:rsidR="0038417A" w:rsidRDefault="0038417A" w:rsidP="0038417A">
      <w:pPr>
        <w:pStyle w:val="Paragraphedeliste"/>
        <w:numPr>
          <w:ilvl w:val="0"/>
          <w:numId w:val="7"/>
        </w:numPr>
        <w:ind w:left="993"/>
        <w:jc w:val="both"/>
        <w:textAlignment w:val="baseline"/>
        <w:rPr>
          <w:sz w:val="22"/>
          <w:szCs w:val="22"/>
        </w:rPr>
      </w:pPr>
      <w:r w:rsidRPr="008F5D36">
        <w:rPr>
          <w:b/>
          <w:bCs/>
          <w:sz w:val="22"/>
          <w:szCs w:val="22"/>
        </w:rPr>
        <w:t>Doit déterminer les modalités de la concertation avec le public</w:t>
      </w:r>
      <w:r>
        <w:rPr>
          <w:sz w:val="22"/>
          <w:szCs w:val="22"/>
        </w:rPr>
        <w:t> :</w:t>
      </w:r>
    </w:p>
    <w:p w14:paraId="61295FBE" w14:textId="77777777" w:rsidR="0038417A" w:rsidRDefault="0038417A" w:rsidP="0038417A">
      <w:pPr>
        <w:pStyle w:val="Paragraphedeliste"/>
        <w:ind w:left="993"/>
        <w:jc w:val="both"/>
        <w:rPr>
          <w:b/>
          <w:bCs/>
          <w:sz w:val="22"/>
          <w:szCs w:val="22"/>
        </w:rPr>
      </w:pPr>
    </w:p>
    <w:p w14:paraId="0B4AE24E" w14:textId="77777777" w:rsidR="0038417A" w:rsidRDefault="0038417A" w:rsidP="0038417A">
      <w:pPr>
        <w:pStyle w:val="Paragraphedeliste"/>
        <w:numPr>
          <w:ilvl w:val="0"/>
          <w:numId w:val="5"/>
        </w:numPr>
        <w:ind w:left="993"/>
        <w:jc w:val="both"/>
        <w:textAlignment w:val="baseline"/>
        <w:rPr>
          <w:sz w:val="22"/>
          <w:szCs w:val="22"/>
        </w:rPr>
      </w:pPr>
      <w:proofErr w:type="gramStart"/>
      <w:r>
        <w:rPr>
          <w:sz w:val="22"/>
          <w:szCs w:val="22"/>
        </w:rPr>
        <w:t>en</w:t>
      </w:r>
      <w:proofErr w:type="gramEnd"/>
      <w:r>
        <w:rPr>
          <w:sz w:val="22"/>
          <w:szCs w:val="22"/>
        </w:rPr>
        <w:t xml:space="preserve"> précisant que la délibération proposant ces </w:t>
      </w:r>
      <w:proofErr w:type="spellStart"/>
      <w:r>
        <w:rPr>
          <w:sz w:val="22"/>
          <w:szCs w:val="22"/>
        </w:rPr>
        <w:t>ZAEnR</w:t>
      </w:r>
      <w:proofErr w:type="spellEnd"/>
      <w:r>
        <w:rPr>
          <w:sz w:val="22"/>
          <w:szCs w:val="22"/>
        </w:rPr>
        <w:t xml:space="preserve"> doit être prise au plus tard le 31 mars 2024, puis transmise au référent préfectoral unique en Haute-Vienne.</w:t>
      </w:r>
    </w:p>
    <w:p w14:paraId="52D87B7D" w14:textId="77777777" w:rsidR="0038417A" w:rsidRPr="008F5D36" w:rsidRDefault="0038417A" w:rsidP="0038417A">
      <w:pPr>
        <w:pStyle w:val="Paragraphedeliste"/>
        <w:numPr>
          <w:ilvl w:val="0"/>
          <w:numId w:val="5"/>
        </w:numPr>
        <w:ind w:left="993"/>
        <w:jc w:val="both"/>
        <w:textAlignment w:val="baseline"/>
        <w:rPr>
          <w:sz w:val="22"/>
          <w:szCs w:val="22"/>
        </w:rPr>
      </w:pPr>
      <w:r>
        <w:rPr>
          <w:sz w:val="22"/>
          <w:szCs w:val="22"/>
        </w:rPr>
        <w:t xml:space="preserve">Mettant à la disposition du public les pièces permettant la compréhension du choix de la localisation des zones par </w:t>
      </w:r>
      <w:proofErr w:type="spellStart"/>
      <w:r>
        <w:rPr>
          <w:sz w:val="22"/>
          <w:szCs w:val="22"/>
        </w:rPr>
        <w:t>EnR</w:t>
      </w:r>
      <w:proofErr w:type="spellEnd"/>
      <w:r>
        <w:rPr>
          <w:sz w:val="22"/>
          <w:szCs w:val="22"/>
        </w:rPr>
        <w:t xml:space="preserve"> et de mettre un registre à disposition du public aux jours et heures à définir.</w:t>
      </w:r>
    </w:p>
    <w:p w14:paraId="56064A3E" w14:textId="77777777" w:rsidR="0038417A" w:rsidRDefault="0038417A" w:rsidP="0038417A">
      <w:pPr>
        <w:ind w:left="993"/>
        <w:jc w:val="both"/>
        <w:rPr>
          <w:sz w:val="22"/>
          <w:szCs w:val="22"/>
        </w:rPr>
      </w:pPr>
    </w:p>
    <w:p w14:paraId="4A5B1293" w14:textId="77777777" w:rsidR="0038417A" w:rsidRDefault="0038417A" w:rsidP="0038417A">
      <w:pPr>
        <w:ind w:left="993"/>
        <w:jc w:val="both"/>
        <w:rPr>
          <w:sz w:val="22"/>
          <w:szCs w:val="22"/>
        </w:rPr>
      </w:pPr>
    </w:p>
    <w:p w14:paraId="22E47A61" w14:textId="77777777" w:rsidR="0038417A" w:rsidRDefault="0038417A" w:rsidP="0038417A">
      <w:pPr>
        <w:ind w:left="993"/>
        <w:jc w:val="both"/>
        <w:rPr>
          <w:sz w:val="22"/>
          <w:szCs w:val="22"/>
        </w:rPr>
      </w:pPr>
      <w:r>
        <w:rPr>
          <w:sz w:val="22"/>
          <w:szCs w:val="22"/>
        </w:rPr>
        <w:t xml:space="preserve">Le Conseil municipal étudie la cartographie proposée pour l’implantation de chaque catégorie de ressources : </w:t>
      </w:r>
    </w:p>
    <w:p w14:paraId="3237A113" w14:textId="77777777" w:rsidR="0038417A" w:rsidRDefault="0038417A" w:rsidP="0038417A">
      <w:pPr>
        <w:pStyle w:val="Paragraphedeliste"/>
        <w:ind w:left="993"/>
        <w:jc w:val="both"/>
        <w:rPr>
          <w:rFonts w:eastAsia="Wingdings" w:cs="Wingdings"/>
          <w:sz w:val="22"/>
          <w:szCs w:val="22"/>
        </w:rPr>
      </w:pPr>
      <w:r>
        <w:rPr>
          <w:rFonts w:eastAsia="Wingdings" w:cs="Wingdings"/>
          <w:sz w:val="22"/>
          <w:szCs w:val="22"/>
        </w:rPr>
        <w:t>Pour :  14          Contre :   0      Abstention :      0</w:t>
      </w:r>
    </w:p>
    <w:p w14:paraId="1B2B1478" w14:textId="77777777" w:rsidR="0038417A" w:rsidRDefault="0038417A" w:rsidP="0038417A">
      <w:pPr>
        <w:pStyle w:val="Paragraphedeliste"/>
        <w:ind w:left="993"/>
        <w:jc w:val="both"/>
        <w:rPr>
          <w:rFonts w:eastAsia="Wingdings" w:cs="Wingdings"/>
          <w:sz w:val="22"/>
          <w:szCs w:val="22"/>
        </w:rPr>
      </w:pPr>
    </w:p>
    <w:p w14:paraId="5EBD0CC5" w14:textId="77777777" w:rsidR="0038417A" w:rsidRDefault="0038417A" w:rsidP="0038417A">
      <w:pPr>
        <w:pStyle w:val="Paragraphedeliste"/>
        <w:ind w:left="709"/>
        <w:jc w:val="both"/>
        <w:rPr>
          <w:sz w:val="22"/>
          <w:szCs w:val="22"/>
        </w:rPr>
      </w:pPr>
      <w:r>
        <w:rPr>
          <w:b/>
          <w:bCs/>
          <w:sz w:val="22"/>
          <w:szCs w:val="22"/>
        </w:rPr>
        <w:t xml:space="preserve">IDENTIFIE </w:t>
      </w:r>
      <w:r>
        <w:rPr>
          <w:sz w:val="22"/>
          <w:szCs w:val="22"/>
        </w:rPr>
        <w:t>les zones pour le développement des Energies renouvelables sur le territoire de la commune / Rapport établi par la Communauté de Communes (joint au présent procès-verbal) :</w:t>
      </w:r>
    </w:p>
    <w:p w14:paraId="159FBEDB" w14:textId="77777777" w:rsidR="0038417A" w:rsidRDefault="0038417A" w:rsidP="0038417A">
      <w:pPr>
        <w:pStyle w:val="Paragraphedeliste"/>
        <w:ind w:left="709"/>
        <w:jc w:val="both"/>
        <w:rPr>
          <w:sz w:val="22"/>
          <w:szCs w:val="22"/>
        </w:rPr>
      </w:pPr>
    </w:p>
    <w:p w14:paraId="2C699081" w14:textId="77777777" w:rsidR="0038417A" w:rsidRDefault="0038417A" w:rsidP="0038417A">
      <w:pPr>
        <w:pStyle w:val="Paragraphedeliste"/>
        <w:numPr>
          <w:ilvl w:val="0"/>
          <w:numId w:val="2"/>
        </w:numPr>
        <w:jc w:val="both"/>
        <w:rPr>
          <w:sz w:val="22"/>
          <w:szCs w:val="22"/>
        </w:rPr>
      </w:pPr>
      <w:r>
        <w:rPr>
          <w:sz w:val="22"/>
          <w:szCs w:val="22"/>
        </w:rPr>
        <w:t>Solaire ou photovoltaïque sur toiture : bâtiments supérieurs à 500 m²</w:t>
      </w:r>
    </w:p>
    <w:p w14:paraId="68D98080" w14:textId="77777777" w:rsidR="0038417A" w:rsidRDefault="0038417A" w:rsidP="0038417A">
      <w:pPr>
        <w:pStyle w:val="Paragraphedeliste"/>
        <w:numPr>
          <w:ilvl w:val="0"/>
          <w:numId w:val="2"/>
        </w:numPr>
        <w:jc w:val="both"/>
        <w:rPr>
          <w:sz w:val="22"/>
          <w:szCs w:val="22"/>
        </w:rPr>
      </w:pPr>
      <w:r>
        <w:rPr>
          <w:sz w:val="22"/>
          <w:szCs w:val="22"/>
        </w:rPr>
        <w:t>Photovoltaïque ou solaire au sol sur friches, carrières et ombrières sur parkings : zones repérées dans le rapport de la Communauté de Communes mais en réduisant la surface concernant le parking de la mairie, la place de la mairie étant bien ombragée</w:t>
      </w:r>
    </w:p>
    <w:p w14:paraId="7B238DF5" w14:textId="77777777" w:rsidR="0038417A" w:rsidRDefault="0038417A" w:rsidP="0038417A">
      <w:pPr>
        <w:pStyle w:val="Paragraphedeliste"/>
        <w:numPr>
          <w:ilvl w:val="0"/>
          <w:numId w:val="2"/>
        </w:numPr>
        <w:jc w:val="both"/>
        <w:rPr>
          <w:sz w:val="22"/>
          <w:szCs w:val="22"/>
        </w:rPr>
      </w:pPr>
      <w:r>
        <w:rPr>
          <w:sz w:val="22"/>
          <w:szCs w:val="22"/>
        </w:rPr>
        <w:t>Photovoltaïques ou solaire au sol sur sols agricoles et sols naturels : pas de zone</w:t>
      </w:r>
    </w:p>
    <w:p w14:paraId="1E09D995" w14:textId="77777777" w:rsidR="0038417A" w:rsidRDefault="0038417A" w:rsidP="0038417A">
      <w:pPr>
        <w:pStyle w:val="Paragraphedeliste"/>
        <w:numPr>
          <w:ilvl w:val="0"/>
          <w:numId w:val="2"/>
        </w:numPr>
        <w:jc w:val="both"/>
        <w:rPr>
          <w:sz w:val="22"/>
          <w:szCs w:val="22"/>
        </w:rPr>
      </w:pPr>
      <w:r>
        <w:rPr>
          <w:sz w:val="22"/>
          <w:szCs w:val="22"/>
        </w:rPr>
        <w:t>Eolien : pas de zone</w:t>
      </w:r>
    </w:p>
    <w:p w14:paraId="7AECDA0E" w14:textId="77777777" w:rsidR="0038417A" w:rsidRDefault="0038417A" w:rsidP="0038417A">
      <w:pPr>
        <w:pStyle w:val="Paragraphedeliste"/>
        <w:numPr>
          <w:ilvl w:val="0"/>
          <w:numId w:val="2"/>
        </w:numPr>
        <w:jc w:val="both"/>
        <w:rPr>
          <w:sz w:val="22"/>
          <w:szCs w:val="22"/>
        </w:rPr>
      </w:pPr>
      <w:r>
        <w:rPr>
          <w:sz w:val="22"/>
          <w:szCs w:val="22"/>
        </w:rPr>
        <w:t>Hydroélectricité : pas de zone</w:t>
      </w:r>
    </w:p>
    <w:p w14:paraId="6B763C60" w14:textId="77777777" w:rsidR="0038417A" w:rsidRDefault="0038417A" w:rsidP="0038417A">
      <w:pPr>
        <w:pStyle w:val="Paragraphedeliste"/>
        <w:numPr>
          <w:ilvl w:val="0"/>
          <w:numId w:val="2"/>
        </w:numPr>
        <w:jc w:val="both"/>
        <w:rPr>
          <w:sz w:val="22"/>
          <w:szCs w:val="22"/>
        </w:rPr>
      </w:pPr>
      <w:r>
        <w:rPr>
          <w:sz w:val="22"/>
          <w:szCs w:val="22"/>
        </w:rPr>
        <w:t>Géothermie : zonage entier de la commune</w:t>
      </w:r>
    </w:p>
    <w:p w14:paraId="31F7214B" w14:textId="77777777" w:rsidR="0038417A" w:rsidRDefault="0038417A" w:rsidP="0038417A">
      <w:pPr>
        <w:pStyle w:val="Paragraphedeliste"/>
        <w:numPr>
          <w:ilvl w:val="0"/>
          <w:numId w:val="2"/>
        </w:numPr>
        <w:jc w:val="both"/>
        <w:rPr>
          <w:sz w:val="22"/>
          <w:szCs w:val="22"/>
        </w:rPr>
      </w:pPr>
      <w:r>
        <w:rPr>
          <w:sz w:val="22"/>
          <w:szCs w:val="22"/>
        </w:rPr>
        <w:t xml:space="preserve">Méthanisation : pas de zone </w:t>
      </w:r>
    </w:p>
    <w:p w14:paraId="70C4FBCE" w14:textId="77777777" w:rsidR="0038417A" w:rsidRDefault="0038417A" w:rsidP="0038417A">
      <w:pPr>
        <w:pStyle w:val="Paragraphedeliste"/>
        <w:ind w:left="709"/>
        <w:jc w:val="both"/>
        <w:rPr>
          <w:sz w:val="22"/>
          <w:szCs w:val="22"/>
        </w:rPr>
      </w:pPr>
    </w:p>
    <w:p w14:paraId="4FFD0B91" w14:textId="77777777" w:rsidR="0038417A" w:rsidRPr="0035122C" w:rsidRDefault="0038417A" w:rsidP="0038417A">
      <w:pPr>
        <w:pStyle w:val="Paragraphedeliste"/>
        <w:ind w:left="709"/>
        <w:jc w:val="both"/>
        <w:rPr>
          <w:sz w:val="22"/>
          <w:szCs w:val="22"/>
        </w:rPr>
      </w:pPr>
      <w:r w:rsidRPr="0035122C">
        <w:rPr>
          <w:b/>
          <w:bCs/>
          <w:sz w:val="22"/>
          <w:szCs w:val="22"/>
        </w:rPr>
        <w:t xml:space="preserve">DECIDE </w:t>
      </w:r>
      <w:r w:rsidRPr="0035122C">
        <w:rPr>
          <w:sz w:val="22"/>
          <w:szCs w:val="22"/>
        </w:rPr>
        <w:t>de fixer les modalités de la concertation avec la population, durant toute la durée de l’élaboration comme suit :</w:t>
      </w:r>
    </w:p>
    <w:p w14:paraId="39B18BB9" w14:textId="77777777" w:rsidR="0038417A" w:rsidRPr="0035122C" w:rsidRDefault="0038417A" w:rsidP="0038417A">
      <w:pPr>
        <w:pStyle w:val="Paragraphedeliste"/>
        <w:ind w:left="709"/>
        <w:jc w:val="both"/>
        <w:rPr>
          <w:sz w:val="22"/>
          <w:szCs w:val="22"/>
        </w:rPr>
      </w:pPr>
    </w:p>
    <w:p w14:paraId="6B4A0E13" w14:textId="77777777" w:rsidR="0038417A" w:rsidRDefault="0038417A" w:rsidP="0038417A">
      <w:pPr>
        <w:pStyle w:val="Paragraphedeliste"/>
        <w:numPr>
          <w:ilvl w:val="0"/>
          <w:numId w:val="6"/>
        </w:numPr>
        <w:ind w:left="709"/>
        <w:jc w:val="both"/>
        <w:rPr>
          <w:b/>
          <w:bCs/>
          <w:sz w:val="22"/>
          <w:szCs w:val="22"/>
        </w:rPr>
      </w:pPr>
      <w:proofErr w:type="gramStart"/>
      <w:r w:rsidRPr="0035122C">
        <w:rPr>
          <w:sz w:val="22"/>
          <w:szCs w:val="22"/>
        </w:rPr>
        <w:t>mise</w:t>
      </w:r>
      <w:proofErr w:type="gramEnd"/>
      <w:r w:rsidRPr="0035122C">
        <w:rPr>
          <w:sz w:val="22"/>
          <w:szCs w:val="22"/>
        </w:rPr>
        <w:t xml:space="preserve"> à disposition du public d’un registre aux jours et heures d’ouverture de la mairie, du </w:t>
      </w:r>
      <w:r w:rsidRPr="0035122C">
        <w:rPr>
          <w:b/>
          <w:bCs/>
          <w:sz w:val="22"/>
          <w:szCs w:val="22"/>
        </w:rPr>
        <w:t>19 février au 2 mars 2024.</w:t>
      </w:r>
    </w:p>
    <w:p w14:paraId="48F37D56" w14:textId="77777777" w:rsidR="001D5B03" w:rsidRDefault="001D5B03" w:rsidP="001D5B03">
      <w:pPr>
        <w:jc w:val="both"/>
        <w:rPr>
          <w:b/>
          <w:bCs/>
          <w:sz w:val="22"/>
          <w:szCs w:val="22"/>
        </w:rPr>
      </w:pPr>
    </w:p>
    <w:p w14:paraId="130D0EE7" w14:textId="77777777" w:rsidR="001D5B03" w:rsidRDefault="001D5B03" w:rsidP="001D5B03">
      <w:pPr>
        <w:jc w:val="both"/>
        <w:rPr>
          <w:b/>
          <w:bCs/>
          <w:sz w:val="22"/>
          <w:szCs w:val="22"/>
        </w:rPr>
      </w:pPr>
    </w:p>
    <w:p w14:paraId="3C069F08" w14:textId="77777777" w:rsidR="0038417A" w:rsidRPr="008F5D36" w:rsidRDefault="0038417A" w:rsidP="0038417A">
      <w:pPr>
        <w:pStyle w:val="Paragraphedeliste"/>
        <w:ind w:left="284"/>
        <w:jc w:val="center"/>
        <w:rPr>
          <w:sz w:val="22"/>
          <w:szCs w:val="22"/>
        </w:rPr>
      </w:pPr>
      <w:r>
        <w:rPr>
          <w:sz w:val="22"/>
          <w:szCs w:val="22"/>
        </w:rPr>
        <w:t>-------------------------------------</w:t>
      </w:r>
    </w:p>
    <w:p w14:paraId="2A6826A6" w14:textId="313265EB" w:rsidR="0038417A" w:rsidRPr="00EC13B1" w:rsidRDefault="001D5B03" w:rsidP="001D5B03">
      <w:pPr>
        <w:pStyle w:val="Paragraphedeliste"/>
        <w:jc w:val="both"/>
        <w:textAlignment w:val="baseline"/>
        <w:rPr>
          <w:rFonts w:eastAsia="Wingdings" w:cs="Wingdings"/>
          <w:sz w:val="28"/>
          <w:szCs w:val="28"/>
        </w:rPr>
      </w:pPr>
      <w:r>
        <w:rPr>
          <w:rFonts w:eastAsia="Wingdings" w:cs="Wingdings"/>
          <w:sz w:val="22"/>
          <w:szCs w:val="22"/>
        </w:rPr>
        <w:lastRenderedPageBreak/>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Pr>
          <w:rFonts w:eastAsia="Wingdings" w:cs="Wingdings"/>
          <w:sz w:val="22"/>
          <w:szCs w:val="22"/>
        </w:rPr>
        <w:tab/>
      </w:r>
      <w:r w:rsidR="0038417A">
        <w:rPr>
          <w:rFonts w:eastAsia="Wingdings" w:cs="Wingdings"/>
          <w:sz w:val="28"/>
          <w:szCs w:val="28"/>
          <w:u w:val="single"/>
        </w:rPr>
        <w:t>Questions diverses</w:t>
      </w:r>
    </w:p>
    <w:p w14:paraId="789F6706" w14:textId="77777777" w:rsidR="0038417A" w:rsidRDefault="0038417A" w:rsidP="0038417A">
      <w:pPr>
        <w:jc w:val="both"/>
        <w:rPr>
          <w:rFonts w:eastAsia="Wingdings" w:cs="Wingdings"/>
          <w:sz w:val="28"/>
          <w:szCs w:val="28"/>
        </w:rPr>
      </w:pPr>
    </w:p>
    <w:p w14:paraId="75D8510F" w14:textId="45D23B26" w:rsidR="001D5B03" w:rsidRPr="001D5B03" w:rsidRDefault="001D5B03" w:rsidP="001D5B03">
      <w:pPr>
        <w:ind w:left="720"/>
        <w:jc w:val="both"/>
        <w:rPr>
          <w:rFonts w:eastAsia="Wingdings" w:cs="Wingdings"/>
          <w:sz w:val="22"/>
          <w:szCs w:val="22"/>
        </w:rPr>
      </w:pPr>
      <w:r w:rsidRPr="001D5B03">
        <w:rPr>
          <w:rFonts w:eastAsia="Wingdings" w:cs="Wingdings"/>
          <w:sz w:val="22"/>
          <w:szCs w:val="22"/>
        </w:rPr>
        <w:t xml:space="preserve">Le Maire, </w:t>
      </w:r>
    </w:p>
    <w:p w14:paraId="2DACCA1C" w14:textId="77777777" w:rsidR="001D5B03" w:rsidRDefault="001D5B03" w:rsidP="0038417A">
      <w:pPr>
        <w:jc w:val="both"/>
        <w:rPr>
          <w:rFonts w:eastAsia="Wingdings" w:cs="Wingdings"/>
          <w:sz w:val="28"/>
          <w:szCs w:val="28"/>
        </w:rPr>
      </w:pPr>
    </w:p>
    <w:p w14:paraId="16403E47" w14:textId="77777777" w:rsidR="0038417A" w:rsidRDefault="0038417A" w:rsidP="0038417A">
      <w:pPr>
        <w:pStyle w:val="Paragraphedeliste"/>
        <w:numPr>
          <w:ilvl w:val="0"/>
          <w:numId w:val="13"/>
        </w:numPr>
        <w:ind w:left="709" w:firstLine="0"/>
        <w:jc w:val="both"/>
        <w:rPr>
          <w:rFonts w:eastAsia="Wingdings" w:cs="Wingdings"/>
          <w:sz w:val="24"/>
          <w:szCs w:val="24"/>
        </w:rPr>
      </w:pPr>
      <w:r>
        <w:rPr>
          <w:rFonts w:eastAsia="Wingdings" w:cs="Wingdings"/>
          <w:sz w:val="24"/>
          <w:szCs w:val="24"/>
        </w:rPr>
        <w:t xml:space="preserve">Fibre </w:t>
      </w:r>
    </w:p>
    <w:p w14:paraId="39A1EF41" w14:textId="77777777" w:rsidR="0038417A" w:rsidRDefault="0038417A" w:rsidP="0038417A">
      <w:pPr>
        <w:pStyle w:val="Paragraphedeliste"/>
        <w:ind w:left="709"/>
        <w:jc w:val="both"/>
        <w:rPr>
          <w:rFonts w:eastAsia="Wingdings" w:cs="Wingdings"/>
          <w:sz w:val="24"/>
          <w:szCs w:val="24"/>
        </w:rPr>
      </w:pPr>
    </w:p>
    <w:p w14:paraId="146452B4" w14:textId="77777777" w:rsidR="0038417A" w:rsidRPr="00EC13B1" w:rsidRDefault="0038417A" w:rsidP="0038417A">
      <w:pPr>
        <w:ind w:left="851"/>
        <w:jc w:val="both"/>
        <w:rPr>
          <w:rFonts w:eastAsia="Wingdings" w:cs="Wingdings"/>
          <w:sz w:val="24"/>
          <w:szCs w:val="24"/>
        </w:rPr>
      </w:pPr>
      <w:r>
        <w:rPr>
          <w:rFonts w:eastAsia="Wingdings" w:cs="Wingdings"/>
          <w:sz w:val="24"/>
          <w:szCs w:val="24"/>
        </w:rPr>
        <w:t xml:space="preserve">La mise en place par Orange s’accélère enfin. Installation de l’armoire NRO dans le bourg, câblage aérien </w:t>
      </w:r>
      <w:proofErr w:type="spellStart"/>
      <w:r>
        <w:rPr>
          <w:rFonts w:eastAsia="Wingdings" w:cs="Wingdings"/>
          <w:sz w:val="24"/>
          <w:szCs w:val="24"/>
        </w:rPr>
        <w:t>Poutinou</w:t>
      </w:r>
      <w:proofErr w:type="spellEnd"/>
      <w:r>
        <w:rPr>
          <w:rFonts w:eastAsia="Wingdings" w:cs="Wingdings"/>
          <w:sz w:val="24"/>
          <w:szCs w:val="24"/>
        </w:rPr>
        <w:t xml:space="preserve">, Le </w:t>
      </w:r>
      <w:proofErr w:type="spellStart"/>
      <w:r>
        <w:rPr>
          <w:rFonts w:eastAsia="Wingdings" w:cs="Wingdings"/>
          <w:sz w:val="24"/>
          <w:szCs w:val="24"/>
        </w:rPr>
        <w:t>Prédeau</w:t>
      </w:r>
      <w:proofErr w:type="spellEnd"/>
      <w:r>
        <w:rPr>
          <w:rFonts w:eastAsia="Wingdings" w:cs="Wingdings"/>
          <w:sz w:val="24"/>
          <w:szCs w:val="24"/>
        </w:rPr>
        <w:t>, Les Sous, câblage souterrain et aérien pour le bourg et les autres villages.</w:t>
      </w:r>
    </w:p>
    <w:p w14:paraId="67C57ECF" w14:textId="77777777" w:rsidR="0038417A" w:rsidRPr="00EC13B1" w:rsidRDefault="0038417A" w:rsidP="0038417A">
      <w:pPr>
        <w:jc w:val="both"/>
        <w:rPr>
          <w:i/>
          <w:iCs/>
          <w:sz w:val="22"/>
          <w:szCs w:val="22"/>
        </w:rPr>
      </w:pPr>
    </w:p>
    <w:p w14:paraId="1E9EA69D" w14:textId="77777777" w:rsidR="0038417A" w:rsidRDefault="0038417A" w:rsidP="0038417A">
      <w:pPr>
        <w:pStyle w:val="Paragraphedeliste"/>
        <w:ind w:left="284"/>
        <w:jc w:val="both"/>
        <w:rPr>
          <w:i/>
          <w:iCs/>
          <w:sz w:val="22"/>
          <w:szCs w:val="22"/>
        </w:rPr>
      </w:pPr>
    </w:p>
    <w:p w14:paraId="476A9F97" w14:textId="77777777" w:rsidR="0038417A" w:rsidRDefault="0038417A" w:rsidP="0038417A">
      <w:pPr>
        <w:pStyle w:val="Paragraphedeliste"/>
        <w:numPr>
          <w:ilvl w:val="0"/>
          <w:numId w:val="13"/>
        </w:numPr>
        <w:ind w:left="709" w:hanging="33"/>
        <w:jc w:val="both"/>
        <w:rPr>
          <w:sz w:val="24"/>
          <w:szCs w:val="24"/>
        </w:rPr>
      </w:pPr>
      <w:r>
        <w:rPr>
          <w:sz w:val="24"/>
          <w:szCs w:val="24"/>
        </w:rPr>
        <w:t>Evaluation des écoles</w:t>
      </w:r>
    </w:p>
    <w:p w14:paraId="6079336D" w14:textId="77777777" w:rsidR="0038417A" w:rsidRDefault="0038417A" w:rsidP="0038417A">
      <w:pPr>
        <w:jc w:val="both"/>
        <w:rPr>
          <w:sz w:val="24"/>
          <w:szCs w:val="24"/>
        </w:rPr>
      </w:pPr>
    </w:p>
    <w:p w14:paraId="24B6D90E" w14:textId="77777777" w:rsidR="0038417A" w:rsidRDefault="0038417A" w:rsidP="0038417A">
      <w:pPr>
        <w:ind w:left="851"/>
        <w:jc w:val="both"/>
        <w:rPr>
          <w:sz w:val="24"/>
          <w:szCs w:val="24"/>
        </w:rPr>
      </w:pPr>
      <w:r>
        <w:rPr>
          <w:sz w:val="24"/>
          <w:szCs w:val="24"/>
        </w:rPr>
        <w:t>Cette évaluation par des personnels de la Corrèze concernait les 3 écoles du RPI et l’école de Saint-Martin-Le-Vieux.</w:t>
      </w:r>
    </w:p>
    <w:p w14:paraId="5E9D944C" w14:textId="77777777" w:rsidR="0038417A" w:rsidRDefault="0038417A" w:rsidP="0038417A">
      <w:pPr>
        <w:ind w:left="851"/>
        <w:jc w:val="both"/>
        <w:rPr>
          <w:sz w:val="24"/>
          <w:szCs w:val="24"/>
        </w:rPr>
      </w:pPr>
    </w:p>
    <w:p w14:paraId="5E4F0977" w14:textId="77777777" w:rsidR="0038417A" w:rsidRDefault="0038417A" w:rsidP="0038417A">
      <w:pPr>
        <w:pStyle w:val="Paragraphedeliste"/>
        <w:numPr>
          <w:ilvl w:val="0"/>
          <w:numId w:val="13"/>
        </w:numPr>
        <w:ind w:left="1134"/>
        <w:jc w:val="both"/>
        <w:rPr>
          <w:sz w:val="24"/>
          <w:szCs w:val="24"/>
        </w:rPr>
      </w:pPr>
      <w:r>
        <w:rPr>
          <w:sz w:val="24"/>
          <w:szCs w:val="24"/>
        </w:rPr>
        <w:t>Plantation de 2 haies en 2024</w:t>
      </w:r>
    </w:p>
    <w:p w14:paraId="192AFC9D" w14:textId="77777777" w:rsidR="0038417A" w:rsidRPr="00C23D6C" w:rsidRDefault="0038417A" w:rsidP="0038417A">
      <w:pPr>
        <w:ind w:left="8073" w:firstLine="423"/>
        <w:jc w:val="both"/>
      </w:pPr>
      <w:r>
        <w:t>7</w:t>
      </w:r>
    </w:p>
    <w:p w14:paraId="2129D978" w14:textId="77777777" w:rsidR="0038417A" w:rsidRDefault="0038417A" w:rsidP="0038417A">
      <w:pPr>
        <w:ind w:left="993"/>
        <w:jc w:val="both"/>
        <w:rPr>
          <w:sz w:val="24"/>
          <w:szCs w:val="24"/>
        </w:rPr>
      </w:pPr>
      <w:r>
        <w:rPr>
          <w:sz w:val="24"/>
          <w:szCs w:val="24"/>
        </w:rPr>
        <w:t>Deux haies seront plantées cette année toujours en partenariat avec la Fédération départementale des Chasseurs.</w:t>
      </w:r>
    </w:p>
    <w:p w14:paraId="5D88A08A" w14:textId="77777777" w:rsidR="0038417A" w:rsidRDefault="0038417A" w:rsidP="0038417A">
      <w:pPr>
        <w:ind w:left="993"/>
        <w:jc w:val="both"/>
        <w:rPr>
          <w:sz w:val="24"/>
          <w:szCs w:val="24"/>
        </w:rPr>
      </w:pPr>
    </w:p>
    <w:p w14:paraId="5D83C711" w14:textId="77777777" w:rsidR="0038417A" w:rsidRDefault="0038417A" w:rsidP="0038417A">
      <w:pPr>
        <w:pStyle w:val="Paragraphedeliste"/>
        <w:numPr>
          <w:ilvl w:val="0"/>
          <w:numId w:val="13"/>
        </w:numPr>
        <w:ind w:left="1134"/>
        <w:jc w:val="both"/>
        <w:rPr>
          <w:sz w:val="24"/>
          <w:szCs w:val="24"/>
        </w:rPr>
      </w:pPr>
      <w:r>
        <w:rPr>
          <w:sz w:val="24"/>
          <w:szCs w:val="24"/>
        </w:rPr>
        <w:t>Assainissement</w:t>
      </w:r>
    </w:p>
    <w:p w14:paraId="2378B776" w14:textId="77777777" w:rsidR="0038417A" w:rsidRDefault="0038417A" w:rsidP="0038417A">
      <w:pPr>
        <w:jc w:val="both"/>
        <w:rPr>
          <w:sz w:val="24"/>
          <w:szCs w:val="24"/>
        </w:rPr>
      </w:pPr>
    </w:p>
    <w:p w14:paraId="6922ED00" w14:textId="77777777" w:rsidR="0038417A" w:rsidRDefault="0038417A" w:rsidP="0038417A">
      <w:pPr>
        <w:ind w:left="851"/>
        <w:jc w:val="both"/>
        <w:rPr>
          <w:sz w:val="24"/>
          <w:szCs w:val="24"/>
        </w:rPr>
      </w:pPr>
      <w:r>
        <w:rPr>
          <w:sz w:val="24"/>
          <w:szCs w:val="24"/>
        </w:rPr>
        <w:t>Dans la continuité de l’étude du système d’assainissement collectif, passage de la caméra (février) sur environ 100 mètres de canalisation (descente vers la station) car fuites envisagées.</w:t>
      </w:r>
    </w:p>
    <w:p w14:paraId="7BEB0F9C" w14:textId="77777777" w:rsidR="0038417A" w:rsidRDefault="0038417A" w:rsidP="0038417A">
      <w:pPr>
        <w:ind w:left="851"/>
        <w:jc w:val="both"/>
        <w:rPr>
          <w:sz w:val="24"/>
          <w:szCs w:val="24"/>
        </w:rPr>
      </w:pPr>
    </w:p>
    <w:p w14:paraId="03C2C21F" w14:textId="77777777" w:rsidR="0038417A" w:rsidRDefault="0038417A" w:rsidP="0038417A">
      <w:pPr>
        <w:ind w:left="85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19DC8D8" w14:textId="77777777" w:rsidR="0038417A" w:rsidRDefault="0038417A" w:rsidP="0038417A">
      <w:pPr>
        <w:ind w:left="851"/>
        <w:jc w:val="both"/>
        <w:rPr>
          <w:sz w:val="24"/>
          <w:szCs w:val="24"/>
        </w:rPr>
      </w:pPr>
    </w:p>
    <w:p w14:paraId="7D2EFF66" w14:textId="77777777" w:rsidR="0038417A" w:rsidRDefault="0038417A" w:rsidP="0038417A">
      <w:pPr>
        <w:ind w:left="851"/>
        <w:jc w:val="both"/>
        <w:rPr>
          <w:sz w:val="24"/>
          <w:szCs w:val="24"/>
        </w:rPr>
      </w:pPr>
    </w:p>
    <w:p w14:paraId="0F08F2B4" w14:textId="5F789D2B" w:rsidR="0038417A" w:rsidRDefault="0038417A" w:rsidP="0038417A">
      <w:pPr>
        <w:ind w:left="851"/>
        <w:jc w:val="both"/>
        <w:rPr>
          <w:sz w:val="22"/>
          <w:szCs w:val="22"/>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756CF99" w14:textId="77777777" w:rsidR="00B06B42" w:rsidRDefault="00B06B42"/>
    <w:sectPr w:rsidR="00B06B42" w:rsidSect="00CF6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6F3D"/>
    <w:multiLevelType w:val="hybridMultilevel"/>
    <w:tmpl w:val="9564C16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17D1530F"/>
    <w:multiLevelType w:val="hybridMultilevel"/>
    <w:tmpl w:val="4704FBE8"/>
    <w:lvl w:ilvl="0" w:tplc="5B3694A6">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 w15:restartNumberingAfterBreak="0">
    <w:nsid w:val="1BFF464C"/>
    <w:multiLevelType w:val="hybridMultilevel"/>
    <w:tmpl w:val="F80CAA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0B74C5B"/>
    <w:multiLevelType w:val="hybridMultilevel"/>
    <w:tmpl w:val="C6D0A62C"/>
    <w:lvl w:ilvl="0" w:tplc="040C0009">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3806000A"/>
    <w:multiLevelType w:val="hybridMultilevel"/>
    <w:tmpl w:val="D95C1ED0"/>
    <w:lvl w:ilvl="0" w:tplc="040C0005">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5" w15:restartNumberingAfterBreak="0">
    <w:nsid w:val="3C930F8E"/>
    <w:multiLevelType w:val="hybridMultilevel"/>
    <w:tmpl w:val="D5FCBD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BA7221"/>
    <w:multiLevelType w:val="hybridMultilevel"/>
    <w:tmpl w:val="461AD604"/>
    <w:lvl w:ilvl="0" w:tplc="7C26444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F60633"/>
    <w:multiLevelType w:val="hybridMultilevel"/>
    <w:tmpl w:val="08005B46"/>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8" w15:restartNumberingAfterBreak="0">
    <w:nsid w:val="4E59041A"/>
    <w:multiLevelType w:val="hybridMultilevel"/>
    <w:tmpl w:val="7F404A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B10222"/>
    <w:multiLevelType w:val="hybridMultilevel"/>
    <w:tmpl w:val="27FEA8EE"/>
    <w:lvl w:ilvl="0" w:tplc="77B4A38E">
      <w:numFmt w:val="bullet"/>
      <w:lvlText w:val="-"/>
      <w:lvlJc w:val="left"/>
      <w:pPr>
        <w:ind w:left="786" w:hanging="360"/>
      </w:pPr>
      <w:rPr>
        <w:rFonts w:ascii="Times New Roman" w:eastAsia="Wingdings"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654D12C1"/>
    <w:multiLevelType w:val="hybridMultilevel"/>
    <w:tmpl w:val="4BF09C6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8D03B0A"/>
    <w:multiLevelType w:val="hybridMultilevel"/>
    <w:tmpl w:val="A3849050"/>
    <w:lvl w:ilvl="0" w:tplc="7C264444">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76445F12"/>
    <w:multiLevelType w:val="hybridMultilevel"/>
    <w:tmpl w:val="05DC4144"/>
    <w:lvl w:ilvl="0" w:tplc="1570EAEC">
      <w:start w:val="1"/>
      <w:numFmt w:val="bullet"/>
      <w:lvlText w:val=""/>
      <w:lvlJc w:val="left"/>
      <w:pPr>
        <w:ind w:left="2073" w:hanging="360"/>
      </w:pPr>
      <w:rPr>
        <w:rFonts w:ascii="Wingdings" w:hAnsi="Wingdings"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num w:numId="1" w16cid:durableId="1808275288">
    <w:abstractNumId w:val="5"/>
  </w:num>
  <w:num w:numId="2" w16cid:durableId="1821995805">
    <w:abstractNumId w:val="2"/>
  </w:num>
  <w:num w:numId="3" w16cid:durableId="1910190521">
    <w:abstractNumId w:val="9"/>
  </w:num>
  <w:num w:numId="4" w16cid:durableId="543952638">
    <w:abstractNumId w:val="11"/>
  </w:num>
  <w:num w:numId="5" w16cid:durableId="372340945">
    <w:abstractNumId w:val="4"/>
  </w:num>
  <w:num w:numId="6" w16cid:durableId="1007517301">
    <w:abstractNumId w:val="1"/>
  </w:num>
  <w:num w:numId="7" w16cid:durableId="701511885">
    <w:abstractNumId w:val="7"/>
  </w:num>
  <w:num w:numId="8" w16cid:durableId="1531722810">
    <w:abstractNumId w:val="8"/>
  </w:num>
  <w:num w:numId="9" w16cid:durableId="1092317080">
    <w:abstractNumId w:val="10"/>
  </w:num>
  <w:num w:numId="10" w16cid:durableId="1289775946">
    <w:abstractNumId w:val="6"/>
  </w:num>
  <w:num w:numId="11" w16cid:durableId="725177476">
    <w:abstractNumId w:val="0"/>
  </w:num>
  <w:num w:numId="12" w16cid:durableId="1035615128">
    <w:abstractNumId w:val="12"/>
  </w:num>
  <w:num w:numId="13" w16cid:durableId="2030913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F8"/>
    <w:rsid w:val="001D5B03"/>
    <w:rsid w:val="0038417A"/>
    <w:rsid w:val="00651FF8"/>
    <w:rsid w:val="00A07243"/>
    <w:rsid w:val="00A75CDD"/>
    <w:rsid w:val="00B06B42"/>
    <w:rsid w:val="00CE00DD"/>
    <w:rsid w:val="00CF66F6"/>
    <w:rsid w:val="00F15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0E72"/>
  <w15:chartTrackingRefBased/>
  <w15:docId w15:val="{DE48E5BE-2CA9-4B2E-90B0-051357E5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17A"/>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zh-C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8417A"/>
    <w:pPr>
      <w:spacing w:after="0" w:line="240" w:lineRule="auto"/>
    </w:pPr>
    <w:rPr>
      <w:kern w:val="0"/>
      <w14:ligatures w14:val="none"/>
    </w:rPr>
  </w:style>
  <w:style w:type="paragraph" w:styleId="Titre">
    <w:name w:val="Title"/>
    <w:basedOn w:val="Normal"/>
    <w:link w:val="TitreCar"/>
    <w:uiPriority w:val="10"/>
    <w:qFormat/>
    <w:rsid w:val="0038417A"/>
    <w:pPr>
      <w:suppressAutoHyphens w:val="0"/>
      <w:overflowPunct/>
      <w:autoSpaceDE/>
      <w:jc w:val="center"/>
      <w:textAlignment w:val="auto"/>
    </w:pPr>
    <w:rPr>
      <w:b/>
      <w:bCs/>
      <w:sz w:val="32"/>
      <w:szCs w:val="24"/>
      <w:lang w:eastAsia="fr-FR"/>
    </w:rPr>
  </w:style>
  <w:style w:type="character" w:customStyle="1" w:styleId="TitreCar">
    <w:name w:val="Titre Car"/>
    <w:basedOn w:val="Policepardfaut"/>
    <w:link w:val="Titre"/>
    <w:uiPriority w:val="10"/>
    <w:rsid w:val="0038417A"/>
    <w:rPr>
      <w:rFonts w:ascii="Times New Roman" w:eastAsia="Times New Roman" w:hAnsi="Times New Roman" w:cs="Times New Roman"/>
      <w:b/>
      <w:bCs/>
      <w:kern w:val="0"/>
      <w:sz w:val="32"/>
      <w:szCs w:val="24"/>
      <w:lang w:eastAsia="fr-FR"/>
      <w14:ligatures w14:val="none"/>
    </w:rPr>
  </w:style>
  <w:style w:type="paragraph" w:styleId="Paragraphedeliste">
    <w:name w:val="List Paragraph"/>
    <w:basedOn w:val="Normal"/>
    <w:uiPriority w:val="34"/>
    <w:qFormat/>
    <w:rsid w:val="0038417A"/>
    <w:pPr>
      <w:ind w:left="720"/>
      <w:contextualSpacing/>
      <w:textAlignment w:val="auto"/>
    </w:pPr>
    <w:rPr>
      <w:rFonts w:eastAsia="Calibri"/>
    </w:rPr>
  </w:style>
  <w:style w:type="paragraph" w:customStyle="1" w:styleId="Corpsdetexte26">
    <w:name w:val="Corps de texte 26"/>
    <w:basedOn w:val="Normal"/>
    <w:rsid w:val="0038417A"/>
    <w:pPr>
      <w:tabs>
        <w:tab w:val="left" w:pos="2552"/>
        <w:tab w:val="left" w:pos="6237"/>
      </w:tabs>
      <w:suppressAutoHyphens w:val="0"/>
      <w:autoSpaceDN w:val="0"/>
      <w:adjustRightInd w:val="0"/>
      <w:ind w:left="2552"/>
      <w:jc w:val="both"/>
    </w:pPr>
    <w:rPr>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1352</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ROTARY</dc:creator>
  <cp:keywords/>
  <dc:description/>
  <cp:lastModifiedBy>REX ROTARY</cp:lastModifiedBy>
  <cp:revision>4</cp:revision>
  <dcterms:created xsi:type="dcterms:W3CDTF">2024-03-19T10:30:00Z</dcterms:created>
  <dcterms:modified xsi:type="dcterms:W3CDTF">2024-03-19T10:40:00Z</dcterms:modified>
</cp:coreProperties>
</file>